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kinsoku/>
        <w:wordWrap/>
        <w:overflowPunct/>
        <w:topLinePunct w:val="0"/>
        <w:autoSpaceDE/>
        <w:autoSpaceDN/>
        <w:bidi w:val="0"/>
        <w:adjustRightInd/>
        <w:snapToGrid/>
        <w:spacing w:line="560" w:lineRule="exact"/>
        <w:ind w:leftChars="0" w:firstLine="0" w:firstLineChars="0"/>
        <w:textAlignment w:val="auto"/>
        <w:rPr>
          <w:rFonts w:hint="eastAsia" w:ascii="方正小标宋简体" w:hAnsi="黑体" w:eastAsia="方正小标宋简体" w:cs="Arial"/>
          <w:b w:val="0"/>
          <w:bCs w:val="0"/>
          <w:sz w:val="36"/>
          <w:szCs w:val="36"/>
        </w:rPr>
      </w:pPr>
    </w:p>
    <w:p>
      <w:pPr>
        <w:spacing w:line="56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w:t>
      </w:r>
      <w:r>
        <w:rPr>
          <w:rFonts w:hint="eastAsia" w:ascii="方正小标宋简体" w:hAnsi="方正小标宋简体" w:eastAsia="方正小标宋简体" w:cs="方正小标宋简体"/>
          <w:sz w:val="44"/>
          <w:szCs w:val="44"/>
          <w:lang w:eastAsia="zh-CN"/>
        </w:rPr>
        <w:t>通州区</w:t>
      </w:r>
      <w:r>
        <w:rPr>
          <w:rFonts w:hint="eastAsia" w:ascii="方正小标宋简体" w:hAnsi="方正小标宋简体" w:eastAsia="方正小标宋简体" w:cs="方正小标宋简体"/>
          <w:sz w:val="44"/>
          <w:szCs w:val="44"/>
        </w:rPr>
        <w:t>人民代表大会常务委员会</w:t>
      </w:r>
    </w:p>
    <w:p>
      <w:pPr>
        <w:spacing w:line="560" w:lineRule="exact"/>
        <w:ind w:firstLine="0" w:firstLineChars="0"/>
        <w:jc w:val="center"/>
        <w:rPr>
          <w:rFonts w:ascii="方正小标宋简体" w:hAnsi="方正小标宋简体" w:eastAsia="方正小标宋简体" w:cs="方正小标宋简体"/>
          <w:sz w:val="44"/>
          <w:szCs w:val="44"/>
        </w:rPr>
      </w:pPr>
      <w:bookmarkStart w:id="0" w:name="_Toc16331"/>
      <w:r>
        <w:rPr>
          <w:rFonts w:hint="eastAsia" w:ascii="方正小标宋简体" w:hAnsi="方正小标宋简体" w:eastAsia="方正小标宋简体" w:cs="方正小标宋简体"/>
          <w:sz w:val="44"/>
          <w:szCs w:val="44"/>
          <w:lang w:val="en-US" w:eastAsia="zh-CN"/>
        </w:rPr>
        <w:t>2025年</w:t>
      </w:r>
      <w:r>
        <w:rPr>
          <w:rFonts w:hint="eastAsia" w:ascii="方正小标宋简体" w:hAnsi="方正小标宋简体" w:eastAsia="方正小标宋简体" w:cs="方正小标宋简体"/>
          <w:sz w:val="44"/>
          <w:szCs w:val="44"/>
        </w:rPr>
        <w:t>部门整体绩效报告</w:t>
      </w:r>
      <w:bookmarkEnd w:id="0"/>
    </w:p>
    <w:p>
      <w:pPr>
        <w:spacing w:line="560" w:lineRule="exact"/>
        <w:ind w:firstLine="0" w:firstLineChars="0"/>
        <w:jc w:val="center"/>
        <w:rPr>
          <w:rFonts w:ascii="仿宋" w:hAnsi="仿宋" w:eastAsia="仿宋"/>
        </w:rPr>
      </w:pPr>
    </w:p>
    <w:p>
      <w:pPr>
        <w:jc w:val="center"/>
        <w:rPr>
          <w:rFonts w:ascii="仿宋_GB2312"/>
          <w:b w:val="0"/>
          <w:bCs w:val="0"/>
          <w:szCs w:val="30"/>
        </w:rPr>
      </w:pPr>
    </w:p>
    <w:p>
      <w:pPr>
        <w:spacing w:line="600" w:lineRule="exact"/>
        <w:ind w:firstLine="640" w:firstLineChars="200"/>
        <w:rPr>
          <w:rFonts w:hint="eastAsia" w:ascii="黑体" w:hAnsi="黑体" w:eastAsia="黑体" w:cs="宋体"/>
          <w:b w:val="0"/>
          <w:bCs w:val="0"/>
          <w:color w:val="000000"/>
          <w:kern w:val="0"/>
          <w:sz w:val="32"/>
          <w:szCs w:val="32"/>
        </w:rPr>
      </w:pPr>
      <w:r>
        <w:rPr>
          <w:rFonts w:hint="eastAsia" w:ascii="黑体" w:hAnsi="黑体" w:eastAsia="黑体" w:cs="宋体"/>
          <w:b w:val="0"/>
          <w:bCs w:val="0"/>
          <w:color w:val="000000"/>
          <w:kern w:val="0"/>
          <w:sz w:val="32"/>
          <w:szCs w:val="32"/>
        </w:rPr>
        <w:t>一、部门概况</w:t>
      </w:r>
    </w:p>
    <w:p>
      <w:pPr>
        <w:spacing w:line="600" w:lineRule="exact"/>
        <w:ind w:firstLine="640" w:firstLineChars="200"/>
        <w:rPr>
          <w:rFonts w:hint="eastAsia" w:ascii="楷体_GB2312" w:eastAsia="楷体_GB2312"/>
          <w:b w:val="0"/>
          <w:bCs w:val="0"/>
          <w:sz w:val="32"/>
          <w:szCs w:val="32"/>
        </w:rPr>
      </w:pPr>
      <w:r>
        <w:rPr>
          <w:rFonts w:hint="eastAsia" w:ascii="楷体_GB2312" w:eastAsia="楷体_GB2312"/>
          <w:b w:val="0"/>
          <w:bCs w:val="0"/>
          <w:sz w:val="32"/>
          <w:szCs w:val="32"/>
        </w:rPr>
        <w:t>（一）机构设置及职责工作任务情况</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1、机构设置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通州区人民代表大会常务委员会下设办公室、研究室、代表工作委员会、法制工作委员会（加挂备案审查办公室牌子、社会建设办公室牌子)、教科文卫体办公室、财政经济办公室(加挂预算工作委员会牌子）、城建环保办公室、农村办公室等工作机构。其中办公室下设信访办公室（副处级）、文秘科、行政科、人事科、督察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通州区人民代表大会常务委员会下属事业单位（非独立核算）共2个，包括通州区人大常委会政研中心、通州区人大代表服务中心。</w:t>
      </w:r>
    </w:p>
    <w:p>
      <w:pPr>
        <w:pStyle w:val="6"/>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 xml:space="preserve">   2、职责工作任务</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通州区人民代表大会常务委员会是通州区人民代表大会的常设机关，对通州区人民代表大会负责并报告工作。通州区人民代表大会常务委员会为区人大代表依法行使职权、履行职务和开展活动提供服务和保障。</w:t>
      </w:r>
    </w:p>
    <w:p>
      <w:pPr>
        <w:pStyle w:val="6"/>
        <w:rPr>
          <w:rFonts w:hint="eastAsia" w:ascii="仿宋_GB2312" w:hAnsi="Calibri" w:eastAsia="仿宋_GB2312" w:cs="Times New Roman"/>
          <w:kern w:val="2"/>
          <w:sz w:val="32"/>
          <w:szCs w:val="32"/>
          <w:lang w:val="en-US" w:eastAsia="zh-CN" w:bidi="ar-SA"/>
        </w:rPr>
      </w:pPr>
    </w:p>
    <w:p>
      <w:pPr>
        <w:pStyle w:val="6"/>
        <w:rPr>
          <w:rFonts w:hint="eastAsia" w:ascii="仿宋_GB2312" w:hAnsi="Calibri" w:eastAsia="仿宋_GB2312" w:cs="Times New Roman"/>
          <w:kern w:val="2"/>
          <w:sz w:val="32"/>
          <w:szCs w:val="32"/>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pPr>
        <w:spacing w:line="600" w:lineRule="exact"/>
        <w:rPr>
          <w:rFonts w:hint="eastAsia" w:ascii="楷体_GB2312" w:eastAsia="楷体_GB2312"/>
          <w:b w:val="0"/>
          <w:bCs w:val="0"/>
          <w:sz w:val="32"/>
          <w:szCs w:val="32"/>
        </w:rPr>
      </w:pPr>
      <w:r>
        <w:rPr>
          <w:rFonts w:hint="eastAsia" w:ascii="楷体_GB2312" w:eastAsia="楷体_GB2312"/>
          <w:b w:val="0"/>
          <w:bCs w:val="0"/>
          <w:sz w:val="32"/>
          <w:szCs w:val="32"/>
          <w:lang w:val="en-US" w:eastAsia="zh-CN"/>
        </w:rPr>
        <w:t xml:space="preserve">   </w:t>
      </w:r>
      <w:r>
        <w:rPr>
          <w:rFonts w:hint="eastAsia" w:ascii="楷体_GB2312" w:eastAsia="楷体_GB2312"/>
          <w:b w:val="0"/>
          <w:bCs w:val="0"/>
          <w:sz w:val="32"/>
          <w:szCs w:val="32"/>
        </w:rPr>
        <w:t>（二）部门整体绩效目标设立情况</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按照202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eastAsia="zh-CN"/>
        </w:rPr>
        <w:t>区</w:t>
      </w:r>
      <w:r>
        <w:rPr>
          <w:rFonts w:hint="eastAsia" w:ascii="仿宋" w:hAnsi="仿宋" w:eastAsia="仿宋" w:cs="仿宋"/>
          <w:sz w:val="32"/>
          <w:szCs w:val="32"/>
        </w:rPr>
        <w:t>级部门预算编制要求，</w:t>
      </w:r>
      <w:r>
        <w:rPr>
          <w:rFonts w:hint="eastAsia" w:ascii="仿宋" w:hAnsi="仿宋" w:eastAsia="仿宋" w:cs="仿宋"/>
          <w:sz w:val="32"/>
          <w:szCs w:val="32"/>
          <w:lang w:eastAsia="zh-CN"/>
        </w:rPr>
        <w:t>区</w:t>
      </w:r>
      <w:r>
        <w:rPr>
          <w:rFonts w:hint="eastAsia" w:ascii="仿宋" w:hAnsi="仿宋" w:eastAsia="仿宋" w:cs="仿宋"/>
          <w:sz w:val="32"/>
          <w:szCs w:val="32"/>
        </w:rPr>
        <w:t>人大常委会在编报202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年部门预算过程中，参照往年部门整体绩效目标设置情况，编报了202</w:t>
      </w:r>
      <w:r>
        <w:rPr>
          <w:rFonts w:hint="eastAsia" w:ascii="仿宋" w:hAnsi="仿宋" w:eastAsia="仿宋" w:cs="仿宋"/>
          <w:sz w:val="32"/>
          <w:szCs w:val="32"/>
          <w:lang w:val="en-US" w:eastAsia="zh-CN"/>
        </w:rPr>
        <w:t>5</w:t>
      </w:r>
      <w:r>
        <w:rPr>
          <w:rFonts w:hint="eastAsia" w:ascii="仿宋" w:hAnsi="仿宋" w:eastAsia="仿宋" w:cs="仿宋"/>
          <w:sz w:val="32"/>
          <w:szCs w:val="32"/>
        </w:rPr>
        <w:t>年度部门整体绩效目标初稿。</w:t>
      </w:r>
      <w:r>
        <w:rPr>
          <w:rFonts w:hint="eastAsia" w:ascii="仿宋" w:hAnsi="仿宋" w:eastAsia="仿宋" w:cs="仿宋"/>
          <w:sz w:val="32"/>
          <w:szCs w:val="32"/>
          <w:lang w:eastAsia="zh-CN"/>
        </w:rPr>
        <w:t>参照《北京市通州区人大常委会</w:t>
      </w:r>
      <w:r>
        <w:rPr>
          <w:rFonts w:hint="eastAsia" w:ascii="仿宋" w:hAnsi="仿宋" w:eastAsia="仿宋" w:cs="仿宋"/>
          <w:sz w:val="32"/>
          <w:szCs w:val="32"/>
          <w:lang w:val="en-US" w:eastAsia="zh-CN"/>
        </w:rPr>
        <w:t>2025年工作手册》</w:t>
      </w:r>
      <w:r>
        <w:rPr>
          <w:rFonts w:hint="eastAsia" w:ascii="仿宋" w:hAnsi="仿宋" w:eastAsia="仿宋" w:cs="仿宋"/>
          <w:sz w:val="32"/>
          <w:szCs w:val="32"/>
        </w:rPr>
        <w:t>进一步提高绩效目标设置的规范性和合理性，保证目标与部门职能任务相匹配</w:t>
      </w:r>
      <w:r>
        <w:rPr>
          <w:rFonts w:hint="eastAsia" w:ascii="仿宋" w:hAnsi="仿宋" w:eastAsia="仿宋" w:cs="仿宋"/>
          <w:sz w:val="32"/>
          <w:szCs w:val="32"/>
          <w:lang w:eastAsia="zh-CN"/>
        </w:rPr>
        <w:t>。</w:t>
      </w:r>
    </w:p>
    <w:p>
      <w:pPr>
        <w:spacing w:line="560" w:lineRule="exact"/>
        <w:ind w:firstLine="643"/>
        <w:rPr>
          <w:rFonts w:hint="eastAsia" w:ascii="仿宋" w:hAnsi="仿宋" w:eastAsia="仿宋" w:cs="仿宋"/>
          <w:sz w:val="32"/>
          <w:szCs w:val="32"/>
        </w:rPr>
      </w:pPr>
      <w:r>
        <w:rPr>
          <w:rFonts w:hint="eastAsia" w:ascii="仿宋" w:hAnsi="仿宋" w:eastAsia="仿宋" w:cs="仿宋"/>
          <w:b w:val="0"/>
          <w:bCs w:val="0"/>
          <w:sz w:val="32"/>
          <w:szCs w:val="32"/>
        </w:rPr>
        <w:t>绩效总目标</w:t>
      </w:r>
      <w:r>
        <w:rPr>
          <w:rFonts w:hint="eastAsia" w:ascii="仿宋" w:hAnsi="仿宋" w:eastAsia="仿宋" w:cs="仿宋"/>
          <w:sz w:val="32"/>
          <w:szCs w:val="32"/>
        </w:rPr>
        <w:t>：一、强化政治能力，以更高站位把牢人大工作政治方向；二、把握监督实效，以更强动力服务副中心发展大局；三、突出代表作用，以更大力度践行全过程人民民主；四、坚守人民至上，以更高追求彰显为民服务情怀；五、深入调查研究，以更实举措推动解决发展难题；六、打造“四个机关”，以更高标准提升人大工作质量。</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0"/>
        <w:jc w:val="both"/>
        <w:textAlignment w:val="auto"/>
        <w:outlineLvl w:val="9"/>
        <w:rPr>
          <w:rFonts w:hint="eastAsia" w:ascii="仿宋" w:hAnsi="仿宋" w:eastAsia="仿宋" w:cs="仿宋"/>
          <w:sz w:val="32"/>
          <w:szCs w:val="32"/>
          <w:lang w:eastAsia="zh-CN"/>
        </w:rPr>
      </w:pPr>
      <w:r>
        <w:rPr>
          <w:rFonts w:hint="eastAsia" w:ascii="仿宋" w:hAnsi="仿宋" w:eastAsia="仿宋" w:cs="仿宋"/>
          <w:b w:val="0"/>
          <w:bCs w:val="0"/>
          <w:sz w:val="32"/>
          <w:szCs w:val="32"/>
        </w:rPr>
        <w:t>绩效具体指标：</w:t>
      </w:r>
      <w:r>
        <w:rPr>
          <w:rFonts w:hint="eastAsia" w:ascii="仿宋" w:hAnsi="仿宋" w:eastAsia="仿宋" w:cs="仿宋"/>
          <w:b w:val="0"/>
          <w:bCs w:val="0"/>
          <w:sz w:val="32"/>
          <w:szCs w:val="32"/>
          <w:lang w:eastAsia="zh-CN"/>
        </w:rPr>
        <w:t>一</w:t>
      </w:r>
      <w:r>
        <w:rPr>
          <w:rFonts w:hint="eastAsia" w:ascii="仿宋" w:hAnsi="仿宋" w:eastAsia="仿宋" w:cs="仿宋"/>
          <w:sz w:val="32"/>
          <w:szCs w:val="32"/>
        </w:rPr>
        <w:t>是用好宪法法律赋予的监督权</w:t>
      </w:r>
      <w:r>
        <w:rPr>
          <w:rFonts w:hint="eastAsia" w:ascii="仿宋" w:hAnsi="仿宋" w:eastAsia="仿宋" w:cs="仿宋"/>
          <w:sz w:val="32"/>
          <w:szCs w:val="32"/>
          <w:lang w:eastAsia="zh-CN"/>
        </w:rPr>
        <w:t>，围绕大局依法履行监督职能。做实重点监督、强化专项监督，扎实开展调查研究</w:t>
      </w:r>
      <w:r>
        <w:rPr>
          <w:rFonts w:hint="eastAsia" w:ascii="仿宋" w:hAnsi="仿宋" w:eastAsia="仿宋" w:cs="仿宋"/>
          <w:sz w:val="32"/>
          <w:szCs w:val="32"/>
        </w:rPr>
        <w:t>；</w:t>
      </w:r>
      <w:r>
        <w:rPr>
          <w:rFonts w:hint="eastAsia" w:ascii="仿宋" w:hAnsi="仿宋" w:eastAsia="仿宋" w:cs="仿宋"/>
          <w:sz w:val="32"/>
          <w:szCs w:val="32"/>
          <w:lang w:eastAsia="zh-CN"/>
        </w:rPr>
        <w:t>二是精心组织代表视察活动。围绕常委会监督议题及重要工作、专题主任会议议题及主任、副主任重点督办件办理情况进行视察；三</w:t>
      </w:r>
      <w:r>
        <w:rPr>
          <w:rFonts w:hint="eastAsia" w:ascii="仿宋" w:hAnsi="仿宋" w:eastAsia="仿宋" w:cs="仿宋"/>
          <w:sz w:val="32"/>
          <w:szCs w:val="32"/>
        </w:rPr>
        <w:t>是依法开展讨论决定重大事项和人事任免工作</w:t>
      </w:r>
      <w:r>
        <w:rPr>
          <w:rFonts w:hint="eastAsia" w:ascii="仿宋" w:hAnsi="仿宋" w:eastAsia="仿宋" w:cs="仿宋"/>
          <w:sz w:val="32"/>
          <w:szCs w:val="32"/>
          <w:lang w:eastAsia="zh-CN"/>
        </w:rPr>
        <w:t>。</w:t>
      </w:r>
      <w:r>
        <w:rPr>
          <w:rFonts w:hint="eastAsia" w:ascii="仿宋" w:hAnsi="仿宋" w:eastAsia="仿宋" w:cs="仿宋"/>
          <w:sz w:val="32"/>
          <w:szCs w:val="32"/>
        </w:rPr>
        <w:t>贯彻落实讨论决定重大事项制度</w:t>
      </w:r>
      <w:r>
        <w:rPr>
          <w:rFonts w:hint="eastAsia" w:ascii="仿宋" w:hAnsi="仿宋" w:eastAsia="仿宋" w:cs="仿宋"/>
          <w:sz w:val="32"/>
          <w:szCs w:val="32"/>
          <w:lang w:eastAsia="zh-CN"/>
        </w:rPr>
        <w:t>，依法</w:t>
      </w:r>
      <w:r>
        <w:rPr>
          <w:rFonts w:hint="eastAsia" w:ascii="仿宋" w:hAnsi="仿宋" w:eastAsia="仿宋" w:cs="仿宋"/>
          <w:sz w:val="32"/>
          <w:szCs w:val="32"/>
        </w:rPr>
        <w:t>履行人事任免权</w:t>
      </w:r>
      <w:r>
        <w:rPr>
          <w:rFonts w:hint="eastAsia" w:ascii="仿宋" w:hAnsi="仿宋" w:eastAsia="仿宋" w:cs="仿宋"/>
          <w:sz w:val="32"/>
          <w:szCs w:val="32"/>
          <w:lang w:eastAsia="zh-CN"/>
        </w:rPr>
        <w:t>，加强对被任命人员的任后监督，依法召开区七届人大七次会议</w:t>
      </w: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是加强代表工作</w:t>
      </w:r>
      <w:r>
        <w:rPr>
          <w:rFonts w:hint="eastAsia" w:ascii="仿宋" w:hAnsi="仿宋" w:eastAsia="仿宋" w:cs="仿宋"/>
          <w:sz w:val="32"/>
          <w:szCs w:val="32"/>
          <w:lang w:eastAsia="zh-CN"/>
        </w:rPr>
        <w:t>能力建设。</w:t>
      </w:r>
      <w:r>
        <w:rPr>
          <w:rFonts w:hint="eastAsia" w:ascii="仿宋" w:hAnsi="仿宋" w:eastAsia="仿宋" w:cs="仿宋"/>
          <w:sz w:val="32"/>
          <w:szCs w:val="32"/>
        </w:rPr>
        <w:t>提升代表培训工作质量；健全代表联系机制；提高代表议案建议工作质量；</w:t>
      </w:r>
      <w:r>
        <w:rPr>
          <w:rFonts w:hint="eastAsia" w:ascii="仿宋" w:hAnsi="仿宋" w:eastAsia="仿宋" w:cs="仿宋"/>
          <w:sz w:val="32"/>
          <w:szCs w:val="32"/>
          <w:lang w:eastAsia="zh-CN"/>
        </w:rPr>
        <w:t>强化</w:t>
      </w:r>
      <w:r>
        <w:rPr>
          <w:rFonts w:hint="eastAsia" w:ascii="仿宋" w:hAnsi="仿宋" w:eastAsia="仿宋" w:cs="仿宋"/>
          <w:sz w:val="32"/>
          <w:szCs w:val="32"/>
        </w:rPr>
        <w:t>代表履职服务保障。</w:t>
      </w:r>
      <w:r>
        <w:rPr>
          <w:rFonts w:hint="eastAsia" w:ascii="仿宋" w:hAnsi="仿宋" w:eastAsia="仿宋" w:cs="仿宋"/>
          <w:sz w:val="32"/>
          <w:szCs w:val="32"/>
          <w:lang w:eastAsia="zh-CN"/>
        </w:rPr>
        <w:t>五</w:t>
      </w:r>
      <w:r>
        <w:rPr>
          <w:rFonts w:hint="eastAsia" w:ascii="仿宋" w:hAnsi="仿宋" w:eastAsia="仿宋" w:cs="仿宋"/>
          <w:sz w:val="32"/>
          <w:szCs w:val="32"/>
        </w:rPr>
        <w:t>是</w:t>
      </w:r>
      <w:r>
        <w:rPr>
          <w:rFonts w:hint="eastAsia" w:ascii="仿宋" w:hAnsi="仿宋" w:eastAsia="仿宋" w:cs="仿宋"/>
          <w:sz w:val="32"/>
          <w:szCs w:val="32"/>
          <w:lang w:eastAsia="zh-CN"/>
        </w:rPr>
        <w:t>做好人大宣传工作。深化担当作为，激发代表履职热情。充分发挥人大网站和“北京通州人大”微信公众平台的作用；通过做会前专题片，讲好“人大故事”，传播“人大声音”。</w:t>
      </w:r>
    </w:p>
    <w:p>
      <w:pPr>
        <w:spacing w:line="600" w:lineRule="exact"/>
        <w:ind w:left="105" w:leftChars="50" w:firstLine="480" w:firstLineChars="150"/>
        <w:rPr>
          <w:rFonts w:ascii="黑体" w:hAnsi="黑体" w:eastAsia="黑体" w:cs="宋体"/>
          <w:b w:val="0"/>
          <w:bCs w:val="0"/>
          <w:color w:val="000000"/>
          <w:kern w:val="0"/>
          <w:sz w:val="32"/>
          <w:szCs w:val="32"/>
        </w:rPr>
      </w:pPr>
      <w:r>
        <w:rPr>
          <w:rFonts w:hint="eastAsia" w:ascii="黑体" w:hAnsi="黑体" w:eastAsia="黑体" w:cs="宋体"/>
          <w:b w:val="0"/>
          <w:bCs w:val="0"/>
          <w:color w:val="000000"/>
          <w:kern w:val="0"/>
          <w:sz w:val="32"/>
          <w:szCs w:val="32"/>
        </w:rPr>
        <w:t>二</w:t>
      </w:r>
      <w:r>
        <w:rPr>
          <w:rFonts w:ascii="黑体" w:hAnsi="黑体" w:eastAsia="黑体" w:cs="宋体"/>
          <w:b w:val="0"/>
          <w:bCs w:val="0"/>
          <w:color w:val="000000"/>
          <w:kern w:val="0"/>
          <w:sz w:val="32"/>
          <w:szCs w:val="32"/>
        </w:rPr>
        <w:t>、</w:t>
      </w:r>
      <w:r>
        <w:rPr>
          <w:rFonts w:hint="eastAsia" w:ascii="黑体" w:hAnsi="黑体" w:eastAsia="黑体" w:cs="宋体"/>
          <w:b w:val="0"/>
          <w:bCs w:val="0"/>
          <w:color w:val="000000"/>
          <w:kern w:val="0"/>
          <w:sz w:val="32"/>
          <w:szCs w:val="32"/>
        </w:rPr>
        <w:t>当年</w:t>
      </w:r>
      <w:r>
        <w:rPr>
          <w:rFonts w:ascii="黑体" w:hAnsi="黑体" w:eastAsia="黑体" w:cs="宋体"/>
          <w:b w:val="0"/>
          <w:bCs w:val="0"/>
          <w:color w:val="000000"/>
          <w:kern w:val="0"/>
          <w:sz w:val="32"/>
          <w:szCs w:val="32"/>
        </w:rPr>
        <w:t>预算执行情况</w:t>
      </w:r>
    </w:p>
    <w:p>
      <w:pPr>
        <w:spacing w:line="600" w:lineRule="exact"/>
        <w:ind w:left="105" w:leftChars="50" w:firstLine="480" w:firstLineChars="150"/>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202</w:t>
      </w:r>
      <w:r>
        <w:rPr>
          <w:rFonts w:hint="eastAsia" w:ascii="仿宋_GB2312" w:hAnsi="宋体" w:eastAsia="仿宋_GB2312" w:cs="宋体"/>
          <w:b w:val="0"/>
          <w:bCs w:val="0"/>
          <w:color w:val="000000"/>
          <w:kern w:val="0"/>
          <w:sz w:val="32"/>
          <w:szCs w:val="32"/>
          <w:lang w:val="en-US" w:eastAsia="zh-CN"/>
        </w:rPr>
        <w:t>5</w:t>
      </w:r>
      <w:r>
        <w:rPr>
          <w:rFonts w:hint="eastAsia" w:ascii="仿宋_GB2312" w:hAnsi="宋体" w:eastAsia="仿宋_GB2312" w:cs="宋体"/>
          <w:b w:val="0"/>
          <w:bCs w:val="0"/>
          <w:color w:val="000000"/>
          <w:kern w:val="0"/>
          <w:sz w:val="32"/>
          <w:szCs w:val="32"/>
        </w:rPr>
        <w:t>年</w:t>
      </w:r>
      <w:r>
        <w:rPr>
          <w:rFonts w:ascii="仿宋_GB2312" w:hAnsi="宋体" w:eastAsia="仿宋_GB2312" w:cs="宋体"/>
          <w:b w:val="0"/>
          <w:bCs w:val="0"/>
          <w:color w:val="000000"/>
          <w:kern w:val="0"/>
          <w:sz w:val="32"/>
          <w:szCs w:val="32"/>
        </w:rPr>
        <w:t>全年</w:t>
      </w:r>
      <w:r>
        <w:rPr>
          <w:rFonts w:hint="eastAsia" w:ascii="仿宋_GB2312" w:hAnsi="宋体" w:eastAsia="仿宋_GB2312" w:cs="宋体"/>
          <w:b w:val="0"/>
          <w:bCs w:val="0"/>
          <w:color w:val="000000"/>
          <w:kern w:val="0"/>
          <w:sz w:val="32"/>
          <w:szCs w:val="32"/>
        </w:rPr>
        <w:t>预算数</w:t>
      </w:r>
      <w:r>
        <w:rPr>
          <w:rFonts w:hint="eastAsia" w:ascii="仿宋_GB2312" w:hAnsi="宋体" w:eastAsia="仿宋_GB2312" w:cs="宋体"/>
          <w:b w:val="0"/>
          <w:bCs w:val="0"/>
          <w:color w:val="000000"/>
          <w:kern w:val="0"/>
          <w:sz w:val="32"/>
          <w:szCs w:val="32"/>
          <w:lang w:val="en-US" w:eastAsia="zh-CN"/>
        </w:rPr>
        <w:t>2705.57</w:t>
      </w:r>
      <w:r>
        <w:rPr>
          <w:rFonts w:hint="eastAsia" w:ascii="仿宋_GB2312" w:hAnsi="宋体" w:eastAsia="仿宋_GB2312" w:cs="宋体"/>
          <w:b w:val="0"/>
          <w:bCs w:val="0"/>
          <w:color w:val="000000"/>
          <w:kern w:val="0"/>
          <w:sz w:val="32"/>
          <w:szCs w:val="32"/>
        </w:rPr>
        <w:t>万元</w:t>
      </w:r>
      <w:r>
        <w:rPr>
          <w:rFonts w:ascii="仿宋_GB2312" w:hAnsi="宋体" w:eastAsia="仿宋_GB2312" w:cs="宋体"/>
          <w:b w:val="0"/>
          <w:bCs w:val="0"/>
          <w:color w:val="000000"/>
          <w:kern w:val="0"/>
          <w:sz w:val="32"/>
          <w:szCs w:val="32"/>
        </w:rPr>
        <w:t>，</w:t>
      </w:r>
      <w:r>
        <w:rPr>
          <w:rFonts w:hint="eastAsia" w:ascii="仿宋_GB2312" w:hAnsi="宋体" w:eastAsia="仿宋_GB2312" w:cs="宋体"/>
          <w:b w:val="0"/>
          <w:bCs w:val="0"/>
          <w:color w:val="000000"/>
          <w:kern w:val="0"/>
          <w:sz w:val="32"/>
          <w:szCs w:val="32"/>
        </w:rPr>
        <w:t>其中</w:t>
      </w:r>
      <w:r>
        <w:rPr>
          <w:rFonts w:ascii="仿宋_GB2312" w:hAnsi="宋体" w:eastAsia="仿宋_GB2312" w:cs="宋体"/>
          <w:b w:val="0"/>
          <w:bCs w:val="0"/>
          <w:color w:val="000000"/>
          <w:kern w:val="0"/>
          <w:sz w:val="32"/>
          <w:szCs w:val="32"/>
        </w:rPr>
        <w:t>，基本</w:t>
      </w:r>
      <w:r>
        <w:rPr>
          <w:rFonts w:hint="eastAsia" w:ascii="仿宋_GB2312" w:hAnsi="宋体" w:eastAsia="仿宋_GB2312" w:cs="宋体"/>
          <w:b w:val="0"/>
          <w:bCs w:val="0"/>
          <w:color w:val="000000"/>
          <w:kern w:val="0"/>
          <w:sz w:val="32"/>
          <w:szCs w:val="32"/>
        </w:rPr>
        <w:t>支出</w:t>
      </w:r>
      <w:r>
        <w:rPr>
          <w:rFonts w:ascii="仿宋_GB2312" w:hAnsi="宋体" w:eastAsia="仿宋_GB2312" w:cs="宋体"/>
          <w:b w:val="0"/>
          <w:bCs w:val="0"/>
          <w:color w:val="000000"/>
          <w:kern w:val="0"/>
          <w:sz w:val="32"/>
          <w:szCs w:val="32"/>
        </w:rPr>
        <w:t>预算数</w:t>
      </w:r>
      <w:r>
        <w:rPr>
          <w:rFonts w:hint="eastAsia" w:ascii="仿宋_GB2312" w:hAnsi="宋体" w:eastAsia="仿宋_GB2312" w:cs="宋体"/>
          <w:b w:val="0"/>
          <w:bCs w:val="0"/>
          <w:color w:val="000000"/>
          <w:kern w:val="0"/>
          <w:sz w:val="32"/>
          <w:szCs w:val="32"/>
          <w:lang w:val="en-US" w:eastAsia="zh-CN"/>
        </w:rPr>
        <w:t>2351.40</w:t>
      </w:r>
      <w:r>
        <w:rPr>
          <w:rFonts w:ascii="仿宋_GB2312" w:hAnsi="宋体" w:eastAsia="仿宋_GB2312" w:cs="宋体"/>
          <w:b w:val="0"/>
          <w:bCs w:val="0"/>
          <w:color w:val="000000"/>
          <w:kern w:val="0"/>
          <w:sz w:val="32"/>
          <w:szCs w:val="32"/>
        </w:rPr>
        <w:t>万元，</w:t>
      </w:r>
      <w:r>
        <w:rPr>
          <w:rFonts w:hint="eastAsia" w:ascii="仿宋_GB2312" w:hAnsi="宋体" w:eastAsia="仿宋_GB2312" w:cs="宋体"/>
          <w:b w:val="0"/>
          <w:bCs w:val="0"/>
          <w:color w:val="000000"/>
          <w:kern w:val="0"/>
          <w:sz w:val="32"/>
          <w:szCs w:val="32"/>
        </w:rPr>
        <w:t>项目支出预算数</w:t>
      </w:r>
      <w:r>
        <w:rPr>
          <w:rFonts w:hint="eastAsia" w:ascii="仿宋_GB2312" w:hAnsi="仿宋" w:eastAsia="仿宋_GB2312"/>
          <w:sz w:val="32"/>
          <w:szCs w:val="32"/>
          <w:highlight w:val="none"/>
          <w:lang w:val="en-US" w:eastAsia="zh-CN"/>
        </w:rPr>
        <w:t>354.17</w:t>
      </w:r>
      <w:r>
        <w:rPr>
          <w:rFonts w:ascii="仿宋_GB2312" w:hAnsi="宋体" w:eastAsia="仿宋_GB2312" w:cs="宋体"/>
          <w:b w:val="0"/>
          <w:bCs w:val="0"/>
          <w:color w:val="000000"/>
          <w:kern w:val="0"/>
          <w:sz w:val="32"/>
          <w:szCs w:val="32"/>
        </w:rPr>
        <w:t>万元，其他支出</w:t>
      </w:r>
      <w:r>
        <w:rPr>
          <w:rFonts w:hint="eastAsia" w:ascii="仿宋_GB2312" w:hAnsi="宋体" w:eastAsia="仿宋_GB2312" w:cs="宋体"/>
          <w:b w:val="0"/>
          <w:bCs w:val="0"/>
          <w:color w:val="000000"/>
          <w:kern w:val="0"/>
          <w:sz w:val="32"/>
          <w:szCs w:val="32"/>
        </w:rPr>
        <w:t>预算数</w:t>
      </w:r>
      <w:r>
        <w:rPr>
          <w:rFonts w:hint="eastAsia" w:ascii="仿宋_GB2312" w:hAnsi="宋体" w:eastAsia="仿宋_GB2312" w:cs="宋体"/>
          <w:b w:val="0"/>
          <w:bCs w:val="0"/>
          <w:color w:val="000000"/>
          <w:kern w:val="0"/>
          <w:sz w:val="32"/>
          <w:szCs w:val="32"/>
          <w:lang w:val="en-US" w:eastAsia="zh-CN"/>
        </w:rPr>
        <w:t>0.00</w:t>
      </w:r>
      <w:r>
        <w:rPr>
          <w:rFonts w:ascii="仿宋_GB2312" w:hAnsi="宋体" w:eastAsia="仿宋_GB2312" w:cs="宋体"/>
          <w:b w:val="0"/>
          <w:bCs w:val="0"/>
          <w:color w:val="000000"/>
          <w:kern w:val="0"/>
          <w:sz w:val="32"/>
          <w:szCs w:val="32"/>
        </w:rPr>
        <w:t>万元</w:t>
      </w:r>
      <w:r>
        <w:rPr>
          <w:rFonts w:hint="eastAsia" w:ascii="仿宋_GB2312" w:hAnsi="宋体" w:eastAsia="仿宋_GB2312" w:cs="宋体"/>
          <w:b w:val="0"/>
          <w:bCs w:val="0"/>
          <w:color w:val="000000"/>
          <w:kern w:val="0"/>
          <w:sz w:val="32"/>
          <w:szCs w:val="32"/>
        </w:rPr>
        <w:t>。</w:t>
      </w:r>
      <w:r>
        <w:rPr>
          <w:rFonts w:ascii="仿宋_GB2312" w:hAnsi="宋体" w:eastAsia="仿宋_GB2312" w:cs="宋体"/>
          <w:b w:val="0"/>
          <w:bCs w:val="0"/>
          <w:color w:val="000000"/>
          <w:kern w:val="0"/>
          <w:sz w:val="32"/>
          <w:szCs w:val="32"/>
        </w:rPr>
        <w:t>资金总体</w:t>
      </w:r>
      <w:r>
        <w:rPr>
          <w:rFonts w:hint="eastAsia" w:ascii="仿宋_GB2312" w:hAnsi="宋体" w:eastAsia="仿宋_GB2312" w:cs="宋体"/>
          <w:b w:val="0"/>
          <w:bCs w:val="0"/>
          <w:color w:val="000000"/>
          <w:kern w:val="0"/>
          <w:sz w:val="32"/>
          <w:szCs w:val="32"/>
        </w:rPr>
        <w:t>支出</w:t>
      </w:r>
      <w:r>
        <w:rPr>
          <w:rFonts w:hint="eastAsia" w:ascii="仿宋_GB2312" w:hAnsi="宋体" w:eastAsia="仿宋_GB2312" w:cs="宋体"/>
          <w:b w:val="0"/>
          <w:bCs w:val="0"/>
          <w:color w:val="000000"/>
          <w:kern w:val="0"/>
          <w:sz w:val="32"/>
          <w:szCs w:val="32"/>
          <w:lang w:val="en-US" w:eastAsia="zh-CN"/>
        </w:rPr>
        <w:t>2572.74</w:t>
      </w:r>
      <w:r>
        <w:rPr>
          <w:rFonts w:ascii="仿宋_GB2312" w:hAnsi="宋体" w:eastAsia="仿宋_GB2312" w:cs="宋体"/>
          <w:b w:val="0"/>
          <w:bCs w:val="0"/>
          <w:color w:val="000000"/>
          <w:kern w:val="0"/>
          <w:sz w:val="32"/>
          <w:szCs w:val="32"/>
        </w:rPr>
        <w:t>万元，其中，基本支出</w:t>
      </w:r>
      <w:r>
        <w:rPr>
          <w:rFonts w:hint="eastAsia" w:ascii="仿宋_GB2312" w:hAnsi="仿宋" w:eastAsia="仿宋_GB2312"/>
          <w:sz w:val="32"/>
          <w:szCs w:val="32"/>
          <w:highlight w:val="none"/>
          <w:lang w:val="en-US" w:eastAsia="zh-CN"/>
        </w:rPr>
        <w:t>2276.48</w:t>
      </w:r>
      <w:r>
        <w:rPr>
          <w:rFonts w:ascii="仿宋_GB2312" w:hAnsi="宋体" w:eastAsia="仿宋_GB2312" w:cs="宋体"/>
          <w:b w:val="0"/>
          <w:bCs w:val="0"/>
          <w:color w:val="000000"/>
          <w:kern w:val="0"/>
          <w:sz w:val="32"/>
          <w:szCs w:val="32"/>
        </w:rPr>
        <w:t>万元，项目</w:t>
      </w:r>
      <w:r>
        <w:rPr>
          <w:rFonts w:hint="eastAsia" w:ascii="仿宋_GB2312" w:hAnsi="宋体" w:eastAsia="仿宋_GB2312" w:cs="宋体"/>
          <w:b w:val="0"/>
          <w:bCs w:val="0"/>
          <w:color w:val="000000"/>
          <w:kern w:val="0"/>
          <w:sz w:val="32"/>
          <w:szCs w:val="32"/>
        </w:rPr>
        <w:t>支出</w:t>
      </w:r>
      <w:r>
        <w:rPr>
          <w:rFonts w:hint="eastAsia" w:ascii="仿宋_GB2312" w:hAnsi="宋体" w:eastAsia="仿宋_GB2312" w:cs="宋体"/>
          <w:b w:val="0"/>
          <w:bCs w:val="0"/>
          <w:color w:val="000000"/>
          <w:kern w:val="0"/>
          <w:sz w:val="32"/>
          <w:szCs w:val="32"/>
          <w:lang w:val="en-US" w:eastAsia="zh-CN"/>
        </w:rPr>
        <w:t>296.26</w:t>
      </w:r>
      <w:r>
        <w:rPr>
          <w:rFonts w:ascii="仿宋_GB2312" w:hAnsi="宋体" w:eastAsia="仿宋_GB2312" w:cs="宋体"/>
          <w:b w:val="0"/>
          <w:bCs w:val="0"/>
          <w:color w:val="000000"/>
          <w:kern w:val="0"/>
          <w:sz w:val="32"/>
          <w:szCs w:val="32"/>
        </w:rPr>
        <w:t>万元，其他支出</w:t>
      </w:r>
      <w:r>
        <w:rPr>
          <w:rFonts w:hint="eastAsia" w:ascii="仿宋_GB2312" w:hAnsi="宋体" w:eastAsia="仿宋_GB2312" w:cs="宋体"/>
          <w:b w:val="0"/>
          <w:bCs w:val="0"/>
          <w:color w:val="000000"/>
          <w:kern w:val="0"/>
          <w:sz w:val="32"/>
          <w:szCs w:val="32"/>
          <w:lang w:val="en-US" w:eastAsia="zh-CN"/>
        </w:rPr>
        <w:t>0.00</w:t>
      </w:r>
      <w:r>
        <w:rPr>
          <w:rFonts w:ascii="仿宋_GB2312" w:hAnsi="宋体" w:eastAsia="仿宋_GB2312" w:cs="宋体"/>
          <w:b w:val="0"/>
          <w:bCs w:val="0"/>
          <w:color w:val="000000"/>
          <w:kern w:val="0"/>
          <w:sz w:val="32"/>
          <w:szCs w:val="32"/>
        </w:rPr>
        <w:t>万元。</w:t>
      </w:r>
      <w:r>
        <w:rPr>
          <w:rFonts w:hint="eastAsia" w:ascii="仿宋_GB2312" w:hAnsi="宋体" w:eastAsia="仿宋_GB2312" w:cs="宋体"/>
          <w:b w:val="0"/>
          <w:bCs w:val="0"/>
          <w:color w:val="000000"/>
          <w:kern w:val="0"/>
          <w:sz w:val="32"/>
          <w:szCs w:val="32"/>
        </w:rPr>
        <w:t>预算</w:t>
      </w:r>
      <w:r>
        <w:rPr>
          <w:rFonts w:ascii="仿宋_GB2312" w:hAnsi="宋体" w:eastAsia="仿宋_GB2312" w:cs="宋体"/>
          <w:b w:val="0"/>
          <w:bCs w:val="0"/>
          <w:color w:val="000000"/>
          <w:kern w:val="0"/>
          <w:sz w:val="32"/>
          <w:szCs w:val="32"/>
        </w:rPr>
        <w:t>执行率为</w:t>
      </w:r>
      <w:r>
        <w:rPr>
          <w:rFonts w:hint="eastAsia" w:ascii="仿宋_GB2312" w:hAnsi="宋体" w:eastAsia="仿宋_GB2312" w:cs="宋体"/>
          <w:b w:val="0"/>
          <w:bCs w:val="0"/>
          <w:color w:val="000000"/>
          <w:kern w:val="0"/>
          <w:sz w:val="32"/>
          <w:szCs w:val="32"/>
          <w:lang w:val="en-US" w:eastAsia="zh-CN"/>
        </w:rPr>
        <w:t>95.09%</w:t>
      </w:r>
      <w:r>
        <w:rPr>
          <w:rFonts w:hint="eastAsia" w:ascii="仿宋_GB2312" w:hAnsi="宋体" w:eastAsia="仿宋_GB2312" w:cs="宋体"/>
          <w:b w:val="0"/>
          <w:bCs w:val="0"/>
          <w:color w:val="000000"/>
          <w:kern w:val="0"/>
          <w:sz w:val="32"/>
          <w:szCs w:val="32"/>
        </w:rPr>
        <w:t>。</w:t>
      </w:r>
    </w:p>
    <w:p>
      <w:pPr>
        <w:numPr>
          <w:ilvl w:val="0"/>
          <w:numId w:val="0"/>
        </w:numPr>
        <w:spacing w:line="600" w:lineRule="exact"/>
        <w:rPr>
          <w:rFonts w:ascii="黑体" w:hAnsi="黑体" w:eastAsia="黑体" w:cs="宋体"/>
          <w:b w:val="0"/>
          <w:bCs w:val="0"/>
          <w:color w:val="000000"/>
          <w:kern w:val="0"/>
          <w:sz w:val="32"/>
          <w:szCs w:val="32"/>
        </w:rPr>
      </w:pPr>
      <w:r>
        <w:rPr>
          <w:rFonts w:hint="eastAsia" w:ascii="黑体" w:hAnsi="黑体" w:eastAsia="黑体" w:cs="宋体"/>
          <w:b w:val="0"/>
          <w:bCs w:val="0"/>
          <w:color w:val="000000"/>
          <w:kern w:val="0"/>
          <w:sz w:val="32"/>
          <w:szCs w:val="32"/>
          <w:lang w:val="en-US" w:eastAsia="zh-CN"/>
        </w:rPr>
        <w:t xml:space="preserve">    三、</w:t>
      </w:r>
      <w:r>
        <w:rPr>
          <w:rFonts w:ascii="黑体" w:hAnsi="黑体" w:eastAsia="黑体" w:cs="宋体"/>
          <w:b w:val="0"/>
          <w:bCs w:val="0"/>
          <w:color w:val="000000"/>
          <w:kern w:val="0"/>
          <w:sz w:val="32"/>
          <w:szCs w:val="32"/>
        </w:rPr>
        <w:t>整体绩效目标实现情况</w:t>
      </w:r>
    </w:p>
    <w:p>
      <w:pPr>
        <w:pStyle w:val="6"/>
        <w:numPr>
          <w:ilvl w:val="0"/>
          <w:numId w:val="0"/>
        </w:num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 xml:space="preserve">  2025年是“十四五”规划全面收官、系统谋划“十五五”发展的关键一年。一年来，在区委坚强领导下，区人大常委会坚持以习近平新时代中国特色社会主义思想为指导，全面贯彻党的二十大和二十届历次全会精神，深入落实习近平总书记对北京重要讲话、对城市副中心重要指示批示精神，紧扣改革发展大局，紧盯代表作用发挥，紧抓“四个机关”建设，依法履行各项职责，全区人大工作取得了新进展。</w:t>
      </w:r>
    </w:p>
    <w:p>
      <w:pPr>
        <w:spacing w:line="600" w:lineRule="exact"/>
        <w:ind w:left="105" w:leftChars="50" w:firstLine="480" w:firstLineChars="150"/>
        <w:rPr>
          <w:rFonts w:ascii="楷体_GB2312" w:eastAsia="楷体_GB2312"/>
          <w:b w:val="0"/>
          <w:bCs w:val="0"/>
          <w:sz w:val="32"/>
          <w:szCs w:val="32"/>
        </w:rPr>
      </w:pPr>
      <w:r>
        <w:rPr>
          <w:rFonts w:hint="eastAsia" w:ascii="楷体_GB2312" w:eastAsia="楷体_GB2312"/>
          <w:b w:val="0"/>
          <w:bCs w:val="0"/>
          <w:sz w:val="32"/>
          <w:szCs w:val="32"/>
        </w:rPr>
        <w:t>（一）产出完成情况分析</w:t>
      </w:r>
    </w:p>
    <w:p>
      <w:pPr>
        <w:spacing w:line="600" w:lineRule="exact"/>
        <w:ind w:left="105" w:leftChars="50" w:firstLine="480" w:firstLineChars="150"/>
        <w:rPr>
          <w:rFonts w:hint="eastAsia"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1.产出数量</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b w:val="0"/>
          <w:bCs/>
          <w:i w:val="0"/>
          <w:caps w:val="0"/>
          <w:color w:val="auto"/>
          <w:spacing w:val="0"/>
          <w:sz w:val="32"/>
          <w:szCs w:val="32"/>
          <w:shd w:val="clear" w:color="auto" w:fill="FFFFFF"/>
          <w:lang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（1）</w:t>
      </w:r>
      <w:r>
        <w:rPr>
          <w:rFonts w:hint="eastAsia" w:ascii="仿宋_GB2312" w:hAnsi="仿宋_GB2312" w:eastAsia="仿宋_GB2312" w:cs="仿宋_GB2312"/>
          <w:b w:val="0"/>
          <w:bCs/>
          <w:i w:val="0"/>
          <w:caps w:val="0"/>
          <w:color w:val="auto"/>
          <w:spacing w:val="0"/>
          <w:sz w:val="32"/>
          <w:szCs w:val="32"/>
          <w:shd w:val="clear" w:color="auto" w:fill="FFFFFF"/>
          <w:lang w:eastAsia="zh-CN"/>
        </w:rPr>
        <w:t>一年来，召开常委会会议</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8</w:t>
      </w:r>
      <w:r>
        <w:rPr>
          <w:rFonts w:hint="eastAsia" w:ascii="仿宋_GB2312" w:hAnsi="仿宋_GB2312" w:eastAsia="仿宋_GB2312" w:cs="仿宋_GB2312"/>
          <w:b w:val="0"/>
          <w:bCs/>
          <w:i w:val="0"/>
          <w:caps w:val="0"/>
          <w:color w:val="auto"/>
          <w:spacing w:val="0"/>
          <w:sz w:val="32"/>
          <w:szCs w:val="32"/>
          <w:shd w:val="clear" w:color="auto" w:fill="FFFFFF"/>
          <w:lang w:eastAsia="zh-CN"/>
        </w:rPr>
        <w:t>次，主任会议</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10</w:t>
      </w:r>
      <w:r>
        <w:rPr>
          <w:rFonts w:hint="eastAsia" w:ascii="仿宋_GB2312" w:hAnsi="仿宋_GB2312" w:eastAsia="仿宋_GB2312" w:cs="仿宋_GB2312"/>
          <w:b w:val="0"/>
          <w:bCs/>
          <w:i w:val="0"/>
          <w:caps w:val="0"/>
          <w:color w:val="auto"/>
          <w:spacing w:val="0"/>
          <w:sz w:val="32"/>
          <w:szCs w:val="32"/>
          <w:shd w:val="clear" w:color="auto" w:fill="FFFFFF"/>
          <w:lang w:eastAsia="zh-CN"/>
        </w:rPr>
        <w:t>次，</w:t>
      </w: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听取和审议专项工作报告、计划预算报告48项，作出决议、决定26项，</w:t>
      </w:r>
      <w:bookmarkStart w:id="1" w:name="OLE_LINK116"/>
      <w:bookmarkStart w:id="2" w:name="OLE_LINK87"/>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全年依法任免国家机关工作人员85人次，</w:t>
      </w:r>
      <w:bookmarkStart w:id="3" w:name="OLE_LINK44"/>
      <w:bookmarkEnd w:id="1"/>
      <w:bookmarkEnd w:id="2"/>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有力</w:t>
      </w:r>
      <w:r>
        <w:rPr>
          <w:rFonts w:hint="eastAsia" w:ascii="仿宋_GB2312" w:hAnsi="仿宋_GB2312" w:eastAsia="仿宋_GB2312" w:cs="仿宋_GB2312"/>
          <w:b w:val="0"/>
          <w:bCs/>
          <w:i w:val="0"/>
          <w:caps w:val="0"/>
          <w:color w:val="auto"/>
          <w:spacing w:val="0"/>
          <w:sz w:val="32"/>
          <w:szCs w:val="32"/>
          <w:shd w:val="clear" w:color="auto" w:fill="FFFFFF"/>
          <w:lang w:eastAsia="zh-CN"/>
        </w:rPr>
        <w:t>保障了地方国家机关高效运转。</w:t>
      </w:r>
      <w:bookmarkEnd w:id="3"/>
      <w:r>
        <w:rPr>
          <w:rFonts w:hint="eastAsia" w:ascii="仿宋_GB2312" w:hAnsi="仿宋_GB2312" w:eastAsia="仿宋_GB2312" w:cs="仿宋_GB2312"/>
          <w:b w:val="0"/>
          <w:bCs/>
          <w:i w:val="0"/>
          <w:caps w:val="0"/>
          <w:color w:val="auto"/>
          <w:spacing w:val="0"/>
          <w:sz w:val="32"/>
          <w:szCs w:val="32"/>
          <w:shd w:val="clear" w:color="auto" w:fill="FFFFFF"/>
          <w:lang w:eastAsia="zh-CN"/>
        </w:rPr>
        <w:t>。</w:t>
      </w:r>
    </w:p>
    <w:p>
      <w:pPr>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（2）组织区代表集中培训1次。</w:t>
      </w:r>
    </w:p>
    <w:p>
      <w:pPr>
        <w:pStyle w:val="2"/>
        <w:ind w:left="0" w:leftChars="0" w:firstLine="0" w:firstLineChars="0"/>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（3）召开通州区人民代表大会1次。</w:t>
      </w:r>
    </w:p>
    <w:p>
      <w:pPr>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（4）组织会前区代表集中视察活动1次。</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left="0" w:leftChars="0" w:right="0" w:rightChars="0" w:firstLine="883" w:firstLineChars="200"/>
        <w:jc w:val="both"/>
        <w:textAlignment w:val="auto"/>
        <w:outlineLvl w:val="9"/>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(5)开展常态化调研视察50余次，提出针对性意见建议150余条，为形成高质量审议意见提供依据。</w:t>
      </w:r>
    </w:p>
    <w:p>
      <w:pPr>
        <w:numPr>
          <w:ilvl w:val="0"/>
          <w:numId w:val="1"/>
        </w:numPr>
        <w:spacing w:line="600" w:lineRule="exact"/>
        <w:ind w:firstLine="640"/>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产出</w:t>
      </w:r>
      <w:r>
        <w:rPr>
          <w:rFonts w:ascii="仿宋_GB2312" w:hAnsi="宋体" w:eastAsia="仿宋_GB2312" w:cs="宋体"/>
          <w:b w:val="0"/>
          <w:bCs w:val="0"/>
          <w:color w:val="000000"/>
          <w:kern w:val="0"/>
          <w:sz w:val="32"/>
          <w:szCs w:val="32"/>
        </w:rPr>
        <w:t>质量</w:t>
      </w:r>
    </w:p>
    <w:p>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根</w:t>
      </w:r>
      <w:r>
        <w:rPr>
          <w:rFonts w:hint="eastAsia" w:ascii="仿宋" w:hAnsi="仿宋" w:eastAsia="仿宋" w:cs="仿宋"/>
          <w:sz w:val="32"/>
          <w:szCs w:val="32"/>
          <w:lang w:eastAsia="zh-CN"/>
        </w:rPr>
        <w:t>区</w:t>
      </w:r>
      <w:r>
        <w:rPr>
          <w:rFonts w:hint="eastAsia" w:ascii="仿宋" w:hAnsi="仿宋" w:eastAsia="仿宋" w:cs="仿宋"/>
          <w:sz w:val="32"/>
          <w:szCs w:val="32"/>
        </w:rPr>
        <w:t>人大常委会年初绩效目标及实际工作完成情况，202</w:t>
      </w:r>
      <w:r>
        <w:rPr>
          <w:rFonts w:hint="eastAsia" w:ascii="仿宋" w:hAnsi="仿宋" w:eastAsia="仿宋" w:cs="仿宋"/>
          <w:sz w:val="32"/>
          <w:szCs w:val="32"/>
          <w:lang w:val="en-US" w:eastAsia="zh-CN"/>
        </w:rPr>
        <w:t>5</w:t>
      </w:r>
      <w:r>
        <w:rPr>
          <w:rFonts w:hint="eastAsia" w:ascii="仿宋" w:hAnsi="仿宋" w:eastAsia="仿宋" w:cs="仿宋"/>
          <w:sz w:val="32"/>
          <w:szCs w:val="32"/>
        </w:rPr>
        <w:t>年度产出质量包含</w:t>
      </w:r>
      <w:r>
        <w:rPr>
          <w:rFonts w:hint="eastAsia" w:ascii="仿宋" w:hAnsi="仿宋" w:eastAsia="仿宋" w:cs="仿宋"/>
          <w:sz w:val="32"/>
          <w:szCs w:val="32"/>
          <w:lang w:val="en-US" w:eastAsia="zh-CN"/>
        </w:rPr>
        <w:t>4</w:t>
      </w:r>
      <w:r>
        <w:rPr>
          <w:rFonts w:hint="eastAsia" w:ascii="仿宋" w:hAnsi="仿宋" w:eastAsia="仿宋" w:cs="仿宋"/>
          <w:sz w:val="32"/>
          <w:szCs w:val="32"/>
        </w:rPr>
        <w:t>项</w:t>
      </w:r>
      <w:r>
        <w:rPr>
          <w:rFonts w:hint="eastAsia" w:ascii="仿宋" w:hAnsi="仿宋" w:eastAsia="仿宋" w:cs="仿宋"/>
          <w:sz w:val="32"/>
          <w:szCs w:val="32"/>
          <w:lang w:val="en-US" w:eastAsia="zh-CN"/>
        </w:rPr>
        <w:t>内容</w:t>
      </w:r>
      <w:r>
        <w:rPr>
          <w:rFonts w:hint="eastAsia" w:ascii="仿宋" w:hAnsi="仿宋" w:eastAsia="仿宋" w:cs="仿宋"/>
          <w:sz w:val="32"/>
          <w:szCs w:val="32"/>
        </w:rPr>
        <w:t>，均已达到绩效质量指标要求，其中：</w:t>
      </w:r>
    </w:p>
    <w:p>
      <w:pPr>
        <w:pStyle w:val="2"/>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坚守政治忠诚，在强化思想引领上彰显新担当</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40" w:lineRule="exact"/>
        <w:ind w:firstLine="880" w:firstLineChars="200"/>
        <w:jc w:val="both"/>
        <w:textAlignment w:val="auto"/>
        <w:outlineLvl w:val="9"/>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始终坚持党的领导、人民当家作主、依法治国有机统一，主动融入副中心发展大局，确保人大工作始终与区委中心工作同向发力、与人民群众意愿同心合拍。及时跟进学习党的二十届四中全会精神，在人大系统掀起学习贯彻热潮。落实区委改革要求，审议通过通州区乡镇（街道）履职事项清单，推动破解基层治理“小马拉大车”问题，切实减轻基层负担。扎实开展深入贯彻中央八项规定精神学习教育，组织“学、思、践、悟”主题党日活动，开展“学以致用大家谈”交流研讨，党组班子成员讲授专题党课，促进理论学习与实践感悟深度融合。</w:t>
      </w:r>
    </w:p>
    <w:p>
      <w:pPr>
        <w:keepNext w:val="0"/>
        <w:keepLines w:val="0"/>
        <w:pageBreakBefore w:val="0"/>
        <w:kinsoku/>
        <w:wordWrap/>
        <w:overflowPunct/>
        <w:topLinePunct w:val="0"/>
        <w:autoSpaceDE/>
        <w:autoSpaceDN/>
        <w:bidi w:val="0"/>
        <w:adjustRightInd/>
        <w:snapToGrid/>
        <w:spacing w:line="640" w:lineRule="exact"/>
        <w:jc w:val="both"/>
        <w:textAlignment w:val="auto"/>
        <w:outlineLvl w:val="9"/>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pPr>
      <w:r>
        <w:rPr>
          <w:rFonts w:hint="eastAsia" w:ascii="仿宋" w:hAnsi="仿宋" w:eastAsia="仿宋" w:cs="仿宋"/>
          <w:sz w:val="32"/>
          <w:szCs w:val="32"/>
          <w:lang w:val="en-US" w:eastAsia="zh-CN"/>
        </w:rPr>
        <w:t xml:space="preserve">  （2）</w:t>
      </w: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聚焦精准监督，在围绕中心服务大局上展现新作为</w:t>
      </w:r>
    </w:p>
    <w:p>
      <w:pPr>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right="0" w:rightChars="0" w:firstLine="88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紧扣区委部署要求和人民群众期盼，坚持正确监督、有效监督、依法监督，统筹运用各类监督形式，创新监督方式方法，围绕“十五五”规划编制、围绕重大工作任务、围绕财经工作、</w:t>
      </w:r>
      <w:r>
        <w:rPr>
          <w:rFonts w:hint="eastAsia" w:ascii="仿宋" w:hAnsi="仿宋" w:eastAsia="仿宋" w:cs="仿宋"/>
          <w:sz w:val="32"/>
          <w:szCs w:val="32"/>
          <w:lang w:eastAsia="zh-CN"/>
        </w:rPr>
        <w:t>围绕城乡融合发展、</w:t>
      </w:r>
      <w:r>
        <w:rPr>
          <w:rFonts w:hint="eastAsia" w:ascii="仿宋" w:hAnsi="仿宋" w:eastAsia="仿宋" w:cs="仿宋"/>
          <w:sz w:val="32"/>
          <w:szCs w:val="32"/>
          <w:lang w:val="en-US" w:eastAsia="zh-CN"/>
        </w:rPr>
        <w:t>围绕民生保障、</w:t>
      </w:r>
      <w:r>
        <w:rPr>
          <w:rFonts w:hint="eastAsia" w:ascii="仿宋" w:hAnsi="仿宋" w:eastAsia="仿宋" w:cs="仿宋"/>
          <w:sz w:val="32"/>
          <w:szCs w:val="32"/>
          <w:lang w:eastAsia="zh-CN"/>
        </w:rPr>
        <w:t>围绕民主法治建设开展监，</w:t>
      </w:r>
      <w:r>
        <w:rPr>
          <w:rFonts w:hint="eastAsia" w:ascii="仿宋" w:hAnsi="仿宋" w:eastAsia="仿宋" w:cs="仿宋"/>
          <w:sz w:val="32"/>
          <w:szCs w:val="32"/>
          <w:lang w:val="en-US" w:eastAsia="zh-CN"/>
        </w:rPr>
        <w:t xml:space="preserve"> 以人大监督实效助力副中心高质量发展。</w:t>
      </w:r>
    </w:p>
    <w:p>
      <w:pPr>
        <w:pStyle w:val="2"/>
        <w:keepNext w:val="0"/>
        <w:keepLines w:val="0"/>
        <w:pageBreakBefore w:val="0"/>
        <w:numPr>
          <w:ilvl w:val="0"/>
          <w:numId w:val="0"/>
        </w:numPr>
        <w:kinsoku/>
        <w:wordWrap/>
        <w:overflowPunct/>
        <w:topLinePunct w:val="0"/>
        <w:autoSpaceDE/>
        <w:autoSpaceDN/>
        <w:bidi w:val="0"/>
        <w:adjustRightInd/>
        <w:snapToGrid/>
        <w:spacing w:line="640" w:lineRule="exact"/>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 xml:space="preserve">   （3）</w:t>
      </w:r>
      <w:r>
        <w:rPr>
          <w:rFonts w:hint="eastAsia" w:ascii="仿宋" w:hAnsi="仿宋" w:eastAsia="仿宋" w:cs="仿宋"/>
          <w:kern w:val="2"/>
          <w:sz w:val="32"/>
          <w:szCs w:val="32"/>
          <w:lang w:val="en-US" w:eastAsia="zh-CN" w:bidi="ar-SA"/>
        </w:rPr>
        <w:t>践行全过程人民民主，在发挥代表主体作用上实现新突破</w:t>
      </w:r>
    </w:p>
    <w:p>
      <w:pPr>
        <w:spacing w:line="560" w:lineRule="exact"/>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坚持“一督一届，每年必督”，持续加大“聚焦‘七有五性’推进基层治理议案”督办力度，通过听取和审议议案办理专项工作报告、研究提出审议意见并跟踪督促落实，推动民生保障水平持续提升。针对区七届人大六次会议代表提出的152件建议，进一步健全“精准交办、重点督办、跟踪促办、实效评估”闭环办理机制，进行“阅卷打分式”评估，推动建议办复率、满意率均达100%。</w:t>
      </w:r>
    </w:p>
    <w:p>
      <w:pPr>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right="0" w:rightChars="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（4）建设“四个机关”，在提升人大工作质效上取得新进步</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left="0" w:leftChars="0" w:right="0" w:rightChars="0" w:firstLine="883" w:firstLineChars="200"/>
        <w:jc w:val="both"/>
        <w:textAlignment w:val="auto"/>
        <w:outlineLvl w:val="9"/>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常委会班子成员带头深入基层一线，围绕区委中心工作、常委会重点工作开展督导调研56次、民生实事调研45次，推动解决地铁站周边交通秩序整治、供水管线老化改造等民生难题23项。聚焦绿色发展示范区建设、多业态融合多元化消费、政府投资引导基金运作、农村土地适度规模经营、“三治融合”赋能基层治理5个重点领域，形成5篇高质量调研报告，为区委、区政府科学决策提供参考。常委会各工作机构紧扣监督议题，开展常态化调研视察50余次，提出针对性意见建议150余条，为形成高质量审议意见提供依据。</w:t>
      </w:r>
    </w:p>
    <w:p>
      <w:pPr>
        <w:spacing w:line="600" w:lineRule="exact"/>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w:t>
      </w:r>
      <w:r>
        <w:rPr>
          <w:rFonts w:hint="eastAsia" w:ascii="仿宋_GB2312" w:hAnsi="宋体" w:eastAsia="仿宋_GB2312" w:cs="宋体"/>
          <w:b w:val="0"/>
          <w:bCs w:val="0"/>
          <w:color w:val="000000"/>
          <w:kern w:val="0"/>
          <w:sz w:val="32"/>
          <w:szCs w:val="32"/>
        </w:rPr>
        <w:t>3.产出</w:t>
      </w:r>
      <w:r>
        <w:rPr>
          <w:rFonts w:ascii="仿宋_GB2312" w:hAnsi="宋体" w:eastAsia="仿宋_GB2312" w:cs="宋体"/>
          <w:b w:val="0"/>
          <w:bCs w:val="0"/>
          <w:color w:val="000000"/>
          <w:kern w:val="0"/>
          <w:sz w:val="32"/>
          <w:szCs w:val="32"/>
        </w:rPr>
        <w:t>进度</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（1）202</w:t>
      </w:r>
      <w:r>
        <w:rPr>
          <w:rFonts w:hint="eastAsia" w:ascii="仿宋" w:hAnsi="仿宋" w:eastAsia="仿宋" w:cs="仿宋"/>
          <w:sz w:val="32"/>
          <w:szCs w:val="32"/>
          <w:lang w:val="en-US" w:eastAsia="zh-CN"/>
        </w:rPr>
        <w:t>5</w:t>
      </w:r>
      <w:r>
        <w:rPr>
          <w:rFonts w:hint="eastAsia" w:ascii="仿宋" w:hAnsi="仿宋" w:eastAsia="仿宋" w:cs="仿宋"/>
          <w:sz w:val="32"/>
          <w:szCs w:val="32"/>
        </w:rPr>
        <w:t>年度</w:t>
      </w:r>
      <w:r>
        <w:rPr>
          <w:rFonts w:hint="eastAsia" w:ascii="仿宋" w:hAnsi="仿宋" w:eastAsia="仿宋" w:cs="仿宋"/>
          <w:sz w:val="32"/>
          <w:szCs w:val="32"/>
          <w:lang w:eastAsia="zh-CN"/>
        </w:rPr>
        <w:t>区</w:t>
      </w:r>
      <w:r>
        <w:rPr>
          <w:rFonts w:hint="eastAsia" w:ascii="仿宋" w:hAnsi="仿宋" w:eastAsia="仿宋" w:cs="仿宋"/>
          <w:sz w:val="32"/>
          <w:szCs w:val="32"/>
        </w:rPr>
        <w:t>人大常委会</w:t>
      </w:r>
      <w:r>
        <w:rPr>
          <w:rFonts w:hint="eastAsia" w:ascii="仿宋" w:hAnsi="仿宋" w:eastAsia="仿宋" w:cs="仿宋"/>
          <w:b/>
          <w:bCs/>
          <w:sz w:val="32"/>
          <w:szCs w:val="32"/>
        </w:rPr>
        <w:t>开</w:t>
      </w:r>
      <w:r>
        <w:rPr>
          <w:rFonts w:hint="eastAsia" w:ascii="仿宋" w:hAnsi="仿宋" w:eastAsia="仿宋" w:cs="仿宋"/>
          <w:sz w:val="32"/>
          <w:szCs w:val="32"/>
        </w:rPr>
        <w:t>展</w:t>
      </w:r>
      <w:r>
        <w:rPr>
          <w:rFonts w:hint="eastAsia" w:ascii="仿宋" w:hAnsi="仿宋" w:eastAsia="仿宋" w:cs="仿宋"/>
          <w:sz w:val="32"/>
          <w:szCs w:val="32"/>
          <w:lang w:val="en-US" w:eastAsia="zh-CN"/>
        </w:rPr>
        <w:t>13</w:t>
      </w:r>
      <w:r>
        <w:rPr>
          <w:rFonts w:hint="eastAsia" w:ascii="仿宋" w:hAnsi="仿宋" w:eastAsia="仿宋" w:cs="仿宋"/>
          <w:sz w:val="32"/>
          <w:szCs w:val="32"/>
        </w:rPr>
        <w:t>个项目，通过评价，项目全部按照工作计划要求完成，项目产出进度整体较好。</w:t>
      </w:r>
    </w:p>
    <w:p>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（2）202</w:t>
      </w:r>
      <w:r>
        <w:rPr>
          <w:rFonts w:hint="eastAsia" w:ascii="仿宋" w:hAnsi="仿宋" w:eastAsia="仿宋" w:cs="仿宋"/>
          <w:sz w:val="32"/>
          <w:szCs w:val="32"/>
          <w:lang w:val="en-US" w:eastAsia="zh-CN"/>
        </w:rPr>
        <w:t>5</w:t>
      </w:r>
      <w:r>
        <w:rPr>
          <w:rFonts w:hint="eastAsia" w:ascii="仿宋" w:hAnsi="仿宋" w:eastAsia="仿宋" w:cs="仿宋"/>
          <w:sz w:val="32"/>
          <w:szCs w:val="32"/>
        </w:rPr>
        <w:t>年度</w:t>
      </w:r>
      <w:r>
        <w:rPr>
          <w:rFonts w:hint="eastAsia" w:ascii="仿宋" w:hAnsi="仿宋" w:eastAsia="仿宋" w:cs="仿宋"/>
          <w:sz w:val="32"/>
          <w:szCs w:val="32"/>
          <w:lang w:eastAsia="zh-CN"/>
        </w:rPr>
        <w:t>区</w:t>
      </w:r>
      <w:r>
        <w:rPr>
          <w:rFonts w:hint="eastAsia" w:ascii="仿宋" w:hAnsi="仿宋" w:eastAsia="仿宋" w:cs="仿宋"/>
          <w:sz w:val="32"/>
          <w:szCs w:val="32"/>
        </w:rPr>
        <w:t>人大常委会基本经费按计划安排支出，产出进度整体较好，一是按月发放在职人员</w:t>
      </w:r>
      <w:r>
        <w:rPr>
          <w:rFonts w:hint="eastAsia" w:ascii="仿宋" w:hAnsi="仿宋" w:eastAsia="仿宋" w:cs="仿宋"/>
          <w:sz w:val="32"/>
          <w:szCs w:val="32"/>
          <w:lang w:eastAsia="zh-CN"/>
        </w:rPr>
        <w:t>工资</w:t>
      </w:r>
      <w:r>
        <w:rPr>
          <w:rFonts w:hint="eastAsia" w:ascii="仿宋" w:hAnsi="仿宋" w:eastAsia="仿宋" w:cs="仿宋"/>
          <w:sz w:val="32"/>
          <w:szCs w:val="32"/>
        </w:rPr>
        <w:t>和退休人员退休费，并足额缴纳各类保险和公积金；二是为</w:t>
      </w:r>
      <w:r>
        <w:rPr>
          <w:rFonts w:hint="eastAsia" w:ascii="仿宋" w:hAnsi="仿宋" w:eastAsia="仿宋" w:cs="仿宋"/>
          <w:sz w:val="32"/>
          <w:szCs w:val="32"/>
          <w:lang w:eastAsia="zh-CN"/>
        </w:rPr>
        <w:t>区</w:t>
      </w:r>
      <w:r>
        <w:rPr>
          <w:rFonts w:hint="eastAsia" w:ascii="仿宋" w:hAnsi="仿宋" w:eastAsia="仿宋" w:cs="仿宋"/>
          <w:sz w:val="32"/>
          <w:szCs w:val="32"/>
        </w:rPr>
        <w:t>人大常委会机关正常运转及各部门日常业务工作开展提供了及时有效的资金支持。</w:t>
      </w:r>
    </w:p>
    <w:p>
      <w:pPr>
        <w:spacing w:line="600" w:lineRule="exact"/>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w:t>
      </w:r>
      <w:r>
        <w:rPr>
          <w:rFonts w:ascii="仿宋_GB2312" w:hAnsi="宋体" w:eastAsia="仿宋_GB2312" w:cs="宋体"/>
          <w:b w:val="0"/>
          <w:bCs w:val="0"/>
          <w:color w:val="000000"/>
          <w:kern w:val="0"/>
          <w:sz w:val="32"/>
          <w:szCs w:val="32"/>
        </w:rPr>
        <w:t>4.</w:t>
      </w:r>
      <w:r>
        <w:rPr>
          <w:rFonts w:hint="eastAsia" w:ascii="仿宋_GB2312" w:hAnsi="宋体" w:eastAsia="仿宋_GB2312" w:cs="宋体"/>
          <w:b w:val="0"/>
          <w:bCs w:val="0"/>
          <w:color w:val="000000"/>
          <w:kern w:val="0"/>
          <w:sz w:val="32"/>
          <w:szCs w:val="32"/>
        </w:rPr>
        <w:t>产出</w:t>
      </w:r>
      <w:r>
        <w:rPr>
          <w:rFonts w:ascii="仿宋_GB2312" w:hAnsi="宋体" w:eastAsia="仿宋_GB2312" w:cs="宋体"/>
          <w:b w:val="0"/>
          <w:bCs w:val="0"/>
          <w:color w:val="000000"/>
          <w:kern w:val="0"/>
          <w:sz w:val="32"/>
          <w:szCs w:val="32"/>
        </w:rPr>
        <w:t>成本</w:t>
      </w:r>
    </w:p>
    <w:p>
      <w:pPr>
        <w:spacing w:line="600" w:lineRule="exact"/>
        <w:rPr>
          <w:rFonts w:hint="eastAsia"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 xml:space="preserve"> </w:t>
      </w:r>
      <w:r>
        <w:rPr>
          <w:rFonts w:hint="eastAsia" w:ascii="仿宋_GB2312" w:hAnsi="宋体" w:eastAsia="仿宋_GB2312" w:cs="宋体"/>
          <w:b w:val="0"/>
          <w:bCs w:val="0"/>
          <w:color w:val="000000"/>
          <w:kern w:val="0"/>
          <w:sz w:val="32"/>
          <w:szCs w:val="32"/>
          <w:lang w:val="en-US" w:eastAsia="zh-CN"/>
        </w:rPr>
        <w:t xml:space="preserve">  </w:t>
      </w:r>
      <w:r>
        <w:rPr>
          <w:rFonts w:hint="eastAsia" w:ascii="仿宋_GB2312" w:hAnsi="仿宋" w:eastAsia="仿宋_GB2312"/>
          <w:sz w:val="32"/>
          <w:szCs w:val="32"/>
          <w:highlight w:val="none"/>
          <w:u w:val="none"/>
        </w:rPr>
        <w:t>单位支出</w:t>
      </w:r>
      <w:r>
        <w:rPr>
          <w:rFonts w:hint="eastAsia" w:ascii="仿宋_GB2312" w:hAnsi="仿宋" w:eastAsia="仿宋_GB2312"/>
          <w:sz w:val="32"/>
          <w:szCs w:val="32"/>
          <w:highlight w:val="none"/>
          <w:u w:val="none"/>
          <w:lang w:eastAsia="zh-CN"/>
        </w:rPr>
        <w:t>本年</w:t>
      </w:r>
      <w:r>
        <w:rPr>
          <w:rFonts w:hint="eastAsia" w:ascii="仿宋_GB2312" w:hAnsi="仿宋" w:eastAsia="仿宋_GB2312"/>
          <w:sz w:val="32"/>
          <w:szCs w:val="32"/>
          <w:highlight w:val="none"/>
          <w:u w:val="none"/>
        </w:rPr>
        <w:t>2572.74万元，上年2602.58万元，同比</w:t>
      </w:r>
      <w:r>
        <w:rPr>
          <w:rFonts w:hint="eastAsia" w:ascii="仿宋_GB2312" w:hAnsi="仿宋" w:eastAsia="仿宋_GB2312"/>
          <w:sz w:val="32"/>
          <w:szCs w:val="32"/>
          <w:highlight w:val="none"/>
          <w:u w:val="none"/>
          <w:lang w:eastAsia="zh-CN"/>
        </w:rPr>
        <w:t>减少</w:t>
      </w:r>
      <w:r>
        <w:rPr>
          <w:rFonts w:hint="eastAsia" w:ascii="仿宋_GB2312" w:hAnsi="仿宋" w:eastAsia="仿宋_GB2312"/>
          <w:sz w:val="32"/>
          <w:szCs w:val="32"/>
          <w:highlight w:val="none"/>
          <w:u w:val="none"/>
        </w:rPr>
        <w:t>29.84万元，同比减</w:t>
      </w:r>
      <w:r>
        <w:rPr>
          <w:rFonts w:hint="eastAsia" w:ascii="仿宋_GB2312" w:hAnsi="仿宋" w:eastAsia="仿宋_GB2312"/>
          <w:sz w:val="32"/>
          <w:szCs w:val="32"/>
          <w:highlight w:val="none"/>
          <w:u w:val="none"/>
          <w:lang w:eastAsia="zh-CN"/>
        </w:rPr>
        <w:t>少</w:t>
      </w:r>
      <w:r>
        <w:rPr>
          <w:rFonts w:hint="eastAsia" w:ascii="仿宋_GB2312" w:hAnsi="仿宋" w:eastAsia="仿宋_GB2312"/>
          <w:sz w:val="32"/>
          <w:szCs w:val="32"/>
          <w:highlight w:val="none"/>
          <w:u w:val="none"/>
        </w:rPr>
        <w:t>1.15</w:t>
      </w:r>
      <w:r>
        <w:rPr>
          <w:rFonts w:ascii="仿宋_GB2312" w:hAnsi="仿宋" w:eastAsia="仿宋_GB2312"/>
          <w:sz w:val="32"/>
          <w:szCs w:val="32"/>
          <w:highlight w:val="none"/>
          <w:u w:val="none"/>
        </w:rPr>
        <w:t>%</w:t>
      </w:r>
      <w:r>
        <w:rPr>
          <w:rFonts w:hint="eastAsia" w:ascii="仿宋_GB2312" w:hAnsi="仿宋" w:eastAsia="仿宋_GB2312"/>
          <w:sz w:val="32"/>
          <w:szCs w:val="32"/>
          <w:highlight w:val="none"/>
          <w:u w:val="none"/>
        </w:rPr>
        <w:t>。减</w:t>
      </w:r>
      <w:r>
        <w:rPr>
          <w:rFonts w:hint="eastAsia" w:ascii="仿宋_GB2312" w:hAnsi="仿宋" w:eastAsia="仿宋_GB2312"/>
          <w:sz w:val="32"/>
          <w:szCs w:val="32"/>
          <w:highlight w:val="none"/>
          <w:u w:val="none"/>
          <w:lang w:eastAsia="zh-CN"/>
        </w:rPr>
        <w:t>少</w:t>
      </w:r>
      <w:r>
        <w:rPr>
          <w:rFonts w:hint="eastAsia" w:ascii="仿宋_GB2312" w:hAnsi="仿宋" w:eastAsia="仿宋_GB2312"/>
          <w:sz w:val="32"/>
          <w:szCs w:val="32"/>
          <w:highlight w:val="none"/>
          <w:u w:val="none"/>
        </w:rPr>
        <w:t>原因</w:t>
      </w:r>
      <w:r>
        <w:rPr>
          <w:rFonts w:hint="eastAsia" w:ascii="仿宋_GB2312" w:hAnsi="仿宋" w:eastAsia="仿宋_GB2312"/>
          <w:sz w:val="32"/>
          <w:szCs w:val="32"/>
          <w:highlight w:val="none"/>
          <w:u w:val="none"/>
          <w:lang w:val="en-US" w:eastAsia="zh-CN"/>
        </w:rPr>
        <w:t>是严控支出，公用经费减少。</w:t>
      </w:r>
      <w:r>
        <w:rPr>
          <w:rFonts w:hint="eastAsia" w:ascii="仿宋_GB2312" w:hAnsi="仿宋" w:eastAsia="仿宋_GB2312"/>
          <w:sz w:val="32"/>
          <w:szCs w:val="32"/>
          <w:lang w:val="en-US" w:eastAsia="zh-CN"/>
        </w:rPr>
        <w:t>基本支出是满足单位正常运行的支出，项目支出是为了完成特定的事业目标和任务的支出。2025年总支出包含基本支出2276.48万元，项目支出296.26万元。</w:t>
      </w:r>
    </w:p>
    <w:p>
      <w:pPr>
        <w:spacing w:line="600" w:lineRule="exact"/>
        <w:rPr>
          <w:rFonts w:ascii="楷体_GB2312" w:eastAsia="楷体_GB2312"/>
          <w:b w:val="0"/>
          <w:bCs w:val="0"/>
          <w:sz w:val="32"/>
          <w:szCs w:val="32"/>
        </w:rPr>
      </w:pPr>
      <w:r>
        <w:rPr>
          <w:rFonts w:hint="eastAsia" w:ascii="仿宋_GB2312" w:hAnsi="宋体" w:eastAsia="仿宋_GB2312" w:cs="宋体"/>
          <w:b w:val="0"/>
          <w:bCs w:val="0"/>
          <w:color w:val="000000"/>
          <w:kern w:val="0"/>
          <w:sz w:val="32"/>
          <w:szCs w:val="32"/>
        </w:rPr>
        <w:t xml:space="preserve">  </w:t>
      </w:r>
      <w:r>
        <w:rPr>
          <w:rFonts w:hint="eastAsia" w:ascii="楷体_GB2312" w:eastAsia="楷体_GB2312"/>
          <w:b w:val="0"/>
          <w:bCs w:val="0"/>
          <w:sz w:val="32"/>
          <w:szCs w:val="32"/>
        </w:rPr>
        <w:t>（二）效果</w:t>
      </w:r>
      <w:r>
        <w:rPr>
          <w:rFonts w:ascii="楷体_GB2312" w:eastAsia="楷体_GB2312"/>
          <w:b w:val="0"/>
          <w:bCs w:val="0"/>
          <w:sz w:val="32"/>
          <w:szCs w:val="32"/>
        </w:rPr>
        <w:t>实现情况分析</w:t>
      </w:r>
    </w:p>
    <w:p>
      <w:pPr>
        <w:spacing w:line="600" w:lineRule="exact"/>
        <w:ind w:left="105" w:leftChars="50" w:firstLine="480" w:firstLineChars="150"/>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1.经济</w:t>
      </w:r>
      <w:r>
        <w:rPr>
          <w:rFonts w:ascii="仿宋_GB2312" w:hAnsi="宋体" w:eastAsia="仿宋_GB2312" w:cs="宋体"/>
          <w:b w:val="0"/>
          <w:bCs w:val="0"/>
          <w:color w:val="000000"/>
          <w:kern w:val="0"/>
          <w:sz w:val="32"/>
          <w:szCs w:val="32"/>
        </w:rPr>
        <w:t>效益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40" w:lineRule="exact"/>
        <w:ind w:right="0" w:rightChars="0" w:firstLine="883" w:firstLineChars="200"/>
        <w:jc w:val="both"/>
        <w:textAlignment w:val="auto"/>
        <w:outlineLvl w:val="9"/>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强化对政府计划、预算、决算的审查监督。听取和审议审计查出问题整改落实情况报告，推动问题有效解决。听取和审议2025年新增地方政府债务限额及区级预算调整方案的报告、地方政府债务管理情况的报告，督促政府从严加强债务管控，切实防范化解债务风险。听取和审议2024年国有资产管理情况综合报告、国有自然资源资产管理情况专项报告，促进国有资产规范高效使用。听取和审议金融业发展情况报告，推动提升金融服务实体经济能力。</w:t>
      </w:r>
    </w:p>
    <w:p>
      <w:pPr>
        <w:spacing w:line="600" w:lineRule="exact"/>
        <w:ind w:firstLine="640"/>
        <w:rPr>
          <w:rFonts w:hint="eastAsia"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rPr>
        <w:t>2.社会效益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40" w:lineRule="exact"/>
        <w:ind w:right="0" w:rightChars="0" w:firstLine="883" w:firstLineChars="200"/>
        <w:jc w:val="both"/>
        <w:textAlignment w:val="auto"/>
        <w:outlineLvl w:val="9"/>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将民生实事项目实施列入年度重点监督计划，年中跟踪监督推进情况，年底听取和审议落实情况报告，推动2025年47项民生实事项目按时保质完成。开展环保“年检”，听取和审议区政府上一年度环境状况和环境保护目标完成情况报告，以制度化监督筑牢生态安全屏障。监督《北京市生活垃圾管理条例》贯彻落实情况，视察全区城乡环卫一体化管理工作，推动城乡环境面貌整体提升。</w:t>
      </w:r>
    </w:p>
    <w:p>
      <w:pPr>
        <w:numPr>
          <w:ilvl w:val="0"/>
          <w:numId w:val="0"/>
        </w:numPr>
        <w:spacing w:line="600" w:lineRule="exact"/>
        <w:ind w:firstLine="640"/>
        <w:rPr>
          <w:rFonts w:hint="eastAsia"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3.</w:t>
      </w:r>
      <w:r>
        <w:rPr>
          <w:rFonts w:hint="eastAsia" w:ascii="仿宋_GB2312" w:hAnsi="宋体" w:eastAsia="仿宋_GB2312" w:cs="宋体"/>
          <w:b w:val="0"/>
          <w:bCs w:val="0"/>
          <w:color w:val="000000"/>
          <w:kern w:val="0"/>
          <w:sz w:val="32"/>
          <w:szCs w:val="32"/>
        </w:rPr>
        <w:t>环境效益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40" w:lineRule="exact"/>
        <w:ind w:right="0" w:rightChars="0"/>
        <w:jc w:val="both"/>
        <w:textAlignment w:val="auto"/>
        <w:outlineLvl w:val="9"/>
        <w:rPr>
          <w:rFonts w:hint="eastAsia" w:ascii="仿宋_GB2312" w:eastAsia="仿宋_GB2312" w:cs="Times New Roman"/>
          <w:b w:val="0"/>
          <w:bCs w:val="0"/>
          <w:color w:val="auto"/>
          <w:kern w:val="2"/>
          <w:sz w:val="44"/>
          <w:szCs w:val="44"/>
          <w:highlight w:val="none"/>
          <w:lang w:val="en-US" w:eastAsia="zh-CN" w:bidi="ar-SA"/>
        </w:rPr>
      </w:pPr>
      <w:r>
        <w:rPr>
          <w:rFonts w:hint="eastAsia" w:ascii="仿宋_GB2312" w:hAnsi="仿宋_GB2312" w:eastAsia="仿宋_GB2312" w:cs="仿宋_GB2312"/>
          <w:b w:val="0"/>
          <w:bCs/>
          <w:i w:val="0"/>
          <w:caps w:val="0"/>
          <w:color w:val="auto"/>
          <w:spacing w:val="0"/>
          <w:kern w:val="2"/>
          <w:sz w:val="32"/>
          <w:szCs w:val="32"/>
          <w:shd w:val="clear" w:color="auto" w:fill="FFFFFF"/>
          <w:lang w:val="en-US" w:eastAsia="zh-CN" w:bidi="ar-SA"/>
        </w:rPr>
        <w:t xml:space="preserve">    听取和审议关于推进“十百千”产业集群培育工程、加强文旅融合打造魅力副中心、强化招商引资及重点企业落户工作情况报告，进一步激活城市副中心经济发展新动能。服务京津冀协同发展，围绕绿色低碳和产业发展，赴廊坊市开展专题调研，深化区域合作交流，助力通州区与北三县一体化高质量发展示范区建设。</w:t>
      </w:r>
    </w:p>
    <w:p>
      <w:pPr>
        <w:numPr>
          <w:ilvl w:val="0"/>
          <w:numId w:val="0"/>
        </w:numPr>
        <w:spacing w:line="600" w:lineRule="exact"/>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4.</w:t>
      </w:r>
      <w:r>
        <w:rPr>
          <w:rFonts w:hint="eastAsia" w:ascii="仿宋_GB2312" w:hAnsi="宋体" w:eastAsia="仿宋_GB2312" w:cs="宋体"/>
          <w:b w:val="0"/>
          <w:bCs w:val="0"/>
          <w:color w:val="000000"/>
          <w:kern w:val="0"/>
          <w:sz w:val="32"/>
          <w:szCs w:val="32"/>
        </w:rPr>
        <w:t>可持续</w:t>
      </w:r>
      <w:r>
        <w:rPr>
          <w:rFonts w:ascii="仿宋_GB2312" w:hAnsi="宋体" w:eastAsia="仿宋_GB2312" w:cs="宋体"/>
          <w:b w:val="0"/>
          <w:bCs w:val="0"/>
          <w:color w:val="000000"/>
          <w:kern w:val="0"/>
          <w:sz w:val="32"/>
          <w:szCs w:val="32"/>
        </w:rPr>
        <w:t>性影响</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听取和审议全面提升乡村治理效能、“百千工程”示范片区建设情况报告，围绕农村集体“三资”领域突出问题开展专项监督，助力乡村全面振兴。听取和审议增强农村教育实力、推进副中心教育均衡发展情况报告，加大对义务教育学位派位优化、基层社区卫生服务体系建设、农村污水治理等工作的监督力度，不断提升人民群众的获得感、幸福感、安全感。</w:t>
      </w:r>
    </w:p>
    <w:p>
      <w:pPr>
        <w:pStyle w:val="2"/>
        <w:ind w:left="0" w:leftChars="0" w:firstLine="0" w:firstLineChars="0"/>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w:t>
      </w:r>
      <w:r>
        <w:rPr>
          <w:rFonts w:hint="eastAsia" w:ascii="仿宋_GB2312" w:hAnsi="宋体" w:eastAsia="仿宋_GB2312" w:cs="宋体"/>
          <w:b w:val="0"/>
          <w:bCs w:val="0"/>
          <w:color w:val="000000"/>
          <w:kern w:val="0"/>
          <w:sz w:val="32"/>
          <w:szCs w:val="32"/>
        </w:rPr>
        <w:t>5.服务对象</w:t>
      </w:r>
      <w:r>
        <w:rPr>
          <w:rFonts w:ascii="仿宋_GB2312" w:hAnsi="宋体" w:eastAsia="仿宋_GB2312" w:cs="宋体"/>
          <w:b w:val="0"/>
          <w:bCs w:val="0"/>
          <w:color w:val="000000"/>
          <w:kern w:val="0"/>
          <w:sz w:val="32"/>
          <w:szCs w:val="32"/>
        </w:rPr>
        <w:t>满意度</w:t>
      </w:r>
    </w:p>
    <w:p>
      <w:pPr>
        <w:pStyle w:val="6"/>
        <w:rPr>
          <w:rFonts w:hint="eastAsia" w:ascii="仿宋" w:hAnsi="仿宋" w:eastAsia="仿宋" w:cs="仿宋"/>
          <w:sz w:val="32"/>
          <w:szCs w:val="32"/>
          <w:lang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r>
        <w:rPr>
          <w:rFonts w:hint="eastAsia" w:ascii="仿宋_GB2312" w:hAnsi="仿宋_GB2312" w:eastAsia="仿宋_GB2312" w:cs="仿宋_GB2312"/>
          <w:b w:val="0"/>
          <w:bCs/>
          <w:sz w:val="32"/>
          <w:szCs w:val="32"/>
          <w:lang w:val="en-US" w:eastAsia="zh-CN"/>
        </w:rPr>
        <w:t>通过及时有效解决问题，加强与选民真诚沟通，得到了广大群众的充分理解和支持，有效缓解了全区</w:t>
      </w:r>
      <w:r>
        <w:rPr>
          <w:rFonts w:hint="eastAsia" w:ascii="仿宋_GB2312" w:hAnsi="仿宋_GB2312" w:eastAsia="仿宋_GB2312" w:cs="仿宋_GB2312"/>
          <w:b w:val="0"/>
          <w:bCs/>
          <w:i w:val="0"/>
          <w:caps w:val="0"/>
          <w:color w:val="auto"/>
          <w:spacing w:val="0"/>
          <w:sz w:val="32"/>
          <w:szCs w:val="32"/>
          <w:shd w:val="clear" w:color="auto" w:fill="FFFFFF"/>
          <w:lang w:eastAsia="zh-CN"/>
        </w:rPr>
        <w:t>“七有”“五性”</w:t>
      </w:r>
      <w:r>
        <w:rPr>
          <w:rFonts w:hint="eastAsia" w:ascii="仿宋_GB2312" w:hAnsi="仿宋_GB2312" w:eastAsia="仿宋_GB2312" w:cs="仿宋_GB2312"/>
          <w:b w:val="0"/>
          <w:bCs/>
          <w:sz w:val="32"/>
          <w:szCs w:val="32"/>
          <w:lang w:val="en-US" w:eastAsia="zh-CN"/>
        </w:rPr>
        <w:t>工作监测评价指标体系在社会评价考核分值方面的压力</w:t>
      </w:r>
      <w:r>
        <w:rPr>
          <w:rFonts w:hint="eastAsia" w:eastAsia="仿宋_GB2312"/>
          <w:lang w:eastAsia="zh-CN"/>
        </w:rPr>
        <w:t>。</w:t>
      </w:r>
    </w:p>
    <w:p>
      <w:pPr>
        <w:rPr>
          <w:rFonts w:hint="eastAsia" w:ascii="黑体" w:hAnsi="黑体" w:eastAsia="黑体" w:cs="宋体"/>
          <w:b w:val="0"/>
          <w:bCs w:val="0"/>
          <w:color w:val="000000"/>
          <w:kern w:val="0"/>
          <w:sz w:val="32"/>
          <w:szCs w:val="32"/>
        </w:rPr>
      </w:pPr>
      <w:r>
        <w:rPr>
          <w:rFonts w:hint="eastAsia" w:ascii="黑体" w:hAnsi="黑体" w:eastAsia="黑体" w:cs="宋体"/>
          <w:b w:val="0"/>
          <w:bCs w:val="0"/>
          <w:color w:val="000000"/>
          <w:kern w:val="0"/>
          <w:sz w:val="32"/>
          <w:szCs w:val="32"/>
          <w:lang w:val="en-US" w:eastAsia="zh-CN"/>
        </w:rPr>
        <w:t xml:space="preserve">   </w:t>
      </w:r>
      <w:r>
        <w:rPr>
          <w:rFonts w:hint="eastAsia" w:ascii="黑体" w:hAnsi="黑体" w:eastAsia="黑体" w:cs="宋体"/>
          <w:b w:val="0"/>
          <w:bCs w:val="0"/>
          <w:color w:val="000000"/>
          <w:kern w:val="0"/>
          <w:sz w:val="32"/>
          <w:szCs w:val="32"/>
        </w:rPr>
        <w:t>四</w:t>
      </w:r>
      <w:r>
        <w:rPr>
          <w:rFonts w:ascii="黑体" w:hAnsi="黑体" w:eastAsia="黑体" w:cs="宋体"/>
          <w:b w:val="0"/>
          <w:bCs w:val="0"/>
          <w:color w:val="000000"/>
          <w:kern w:val="0"/>
          <w:sz w:val="32"/>
          <w:szCs w:val="32"/>
        </w:rPr>
        <w:t>、预算管理</w:t>
      </w:r>
      <w:r>
        <w:rPr>
          <w:rFonts w:hint="eastAsia" w:ascii="黑体" w:hAnsi="黑体" w:eastAsia="黑体" w:cs="宋体"/>
          <w:b w:val="0"/>
          <w:bCs w:val="0"/>
          <w:color w:val="000000"/>
          <w:kern w:val="0"/>
          <w:sz w:val="32"/>
          <w:szCs w:val="32"/>
        </w:rPr>
        <w:t>情况分</w:t>
      </w:r>
      <w:r>
        <w:rPr>
          <w:rFonts w:ascii="黑体" w:hAnsi="黑体" w:eastAsia="黑体" w:cs="宋体"/>
          <w:b w:val="0"/>
          <w:bCs w:val="0"/>
          <w:color w:val="000000"/>
          <w:kern w:val="0"/>
          <w:sz w:val="32"/>
          <w:szCs w:val="32"/>
        </w:rPr>
        <w:t>析</w:t>
      </w:r>
    </w:p>
    <w:p>
      <w:pPr>
        <w:spacing w:line="600" w:lineRule="exact"/>
        <w:ind w:left="105" w:leftChars="50" w:firstLine="480" w:firstLineChars="150"/>
        <w:rPr>
          <w:rFonts w:ascii="楷体_GB2312" w:eastAsia="楷体_GB2312"/>
          <w:b w:val="0"/>
          <w:bCs w:val="0"/>
          <w:sz w:val="32"/>
          <w:szCs w:val="32"/>
        </w:rPr>
      </w:pPr>
      <w:r>
        <w:rPr>
          <w:rFonts w:hint="eastAsia" w:ascii="楷体_GB2312" w:eastAsia="楷体_GB2312"/>
          <w:b w:val="0"/>
          <w:bCs w:val="0"/>
          <w:sz w:val="32"/>
          <w:szCs w:val="32"/>
        </w:rPr>
        <w:t>（一）财务管理</w:t>
      </w:r>
    </w:p>
    <w:p>
      <w:pPr>
        <w:spacing w:line="560" w:lineRule="exact"/>
        <w:ind w:firstLine="640"/>
        <w:rPr>
          <w:rFonts w:hint="eastAsia" w:ascii="仿宋" w:hAnsi="仿宋" w:eastAsia="仿宋" w:cs="仿宋"/>
          <w:sz w:val="32"/>
          <w:szCs w:val="32"/>
        </w:rPr>
      </w:pPr>
      <w:r>
        <w:rPr>
          <w:rFonts w:hint="eastAsia" w:ascii="仿宋_GB2312" w:hAnsi="宋体" w:eastAsia="仿宋_GB2312" w:cs="宋体"/>
          <w:b w:val="0"/>
          <w:bCs w:val="0"/>
          <w:color w:val="000000"/>
          <w:kern w:val="0"/>
          <w:sz w:val="32"/>
          <w:szCs w:val="32"/>
        </w:rPr>
        <w:t>1</w:t>
      </w:r>
      <w:r>
        <w:rPr>
          <w:rFonts w:hint="eastAsia" w:ascii="仿宋" w:hAnsi="仿宋" w:eastAsia="仿宋" w:cs="仿宋"/>
          <w:sz w:val="32"/>
          <w:szCs w:val="32"/>
        </w:rPr>
        <w:t>.财务管理制度健全性</w:t>
      </w:r>
    </w:p>
    <w:p>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健全的财务管理制度是行政单位规范财务行为、提高资金使用效率、防范财务风险的重要保障</w:t>
      </w:r>
      <w:r>
        <w:rPr>
          <w:rFonts w:hint="eastAsia" w:ascii="仿宋" w:hAnsi="仿宋" w:eastAsia="仿宋" w:cs="仿宋"/>
          <w:sz w:val="32"/>
          <w:szCs w:val="32"/>
          <w:lang w:eastAsia="zh-CN"/>
        </w:rPr>
        <w:t>。</w:t>
      </w:r>
      <w:r>
        <w:rPr>
          <w:rFonts w:hint="eastAsia" w:ascii="仿宋" w:hAnsi="仿宋" w:eastAsia="仿宋" w:cs="仿宋"/>
          <w:sz w:val="32"/>
          <w:szCs w:val="32"/>
        </w:rPr>
        <w:t>健全的财务管理制度涵盖预算管理、收入管理、支出管理、资产管理、会计核算、财务报告、内部控制等各个方面，形成完整的制度体系，确保各项财务活动有章可循。 定期对财务管理制度的执行情况和效果进行评估，及时发现问题并进行</w:t>
      </w:r>
      <w:r>
        <w:rPr>
          <w:rFonts w:hint="eastAsia" w:ascii="仿宋" w:hAnsi="仿宋" w:eastAsia="仿宋" w:cs="仿宋"/>
          <w:sz w:val="32"/>
          <w:szCs w:val="32"/>
          <w:lang w:eastAsia="zh-CN"/>
        </w:rPr>
        <w:t>完善。</w:t>
      </w:r>
    </w:p>
    <w:p>
      <w:pPr>
        <w:numPr>
          <w:ilvl w:val="0"/>
          <w:numId w:val="0"/>
        </w:numPr>
        <w:spacing w:line="600" w:lineRule="exact"/>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2.</w:t>
      </w:r>
      <w:r>
        <w:rPr>
          <w:rFonts w:hint="eastAsia" w:ascii="仿宋_GB2312" w:hAnsi="宋体" w:eastAsia="仿宋_GB2312" w:cs="宋体"/>
          <w:b w:val="0"/>
          <w:bCs w:val="0"/>
          <w:color w:val="000000"/>
          <w:kern w:val="0"/>
          <w:sz w:val="32"/>
          <w:szCs w:val="32"/>
        </w:rPr>
        <w:t>资金使用合规性</w:t>
      </w:r>
      <w:r>
        <w:rPr>
          <w:rFonts w:ascii="仿宋_GB2312" w:hAnsi="宋体" w:eastAsia="仿宋_GB2312" w:cs="宋体"/>
          <w:b w:val="0"/>
          <w:bCs w:val="0"/>
          <w:color w:val="000000"/>
          <w:kern w:val="0"/>
          <w:sz w:val="32"/>
          <w:szCs w:val="32"/>
        </w:rPr>
        <w:t>和安全性</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提高对内控制度的认识</w:t>
      </w:r>
      <w:r>
        <w:rPr>
          <w:rFonts w:hint="eastAsia" w:ascii="仿宋" w:hAnsi="仿宋" w:eastAsia="仿宋" w:cs="仿宋"/>
          <w:sz w:val="32"/>
          <w:szCs w:val="32"/>
          <w:lang w:eastAsia="zh-CN"/>
        </w:rPr>
        <w:t>，</w:t>
      </w:r>
      <w:r>
        <w:rPr>
          <w:rFonts w:hint="eastAsia" w:ascii="仿宋" w:hAnsi="仿宋" w:eastAsia="仿宋" w:cs="仿宋"/>
          <w:sz w:val="32"/>
          <w:szCs w:val="32"/>
        </w:rPr>
        <w:t>同时严格按照预算批复做好预算执行工作，落实</w:t>
      </w:r>
      <w:r>
        <w:rPr>
          <w:rFonts w:hint="eastAsia" w:ascii="仿宋" w:hAnsi="仿宋" w:eastAsia="仿宋" w:cs="仿宋"/>
          <w:sz w:val="32"/>
          <w:szCs w:val="32"/>
          <w:lang w:eastAsia="zh-CN"/>
        </w:rPr>
        <w:t>财务</w:t>
      </w:r>
      <w:r>
        <w:rPr>
          <w:rFonts w:hint="eastAsia" w:ascii="仿宋" w:hAnsi="仿宋" w:eastAsia="仿宋" w:cs="仿宋"/>
          <w:sz w:val="32"/>
          <w:szCs w:val="32"/>
        </w:rPr>
        <w:t>管理制度，坚持刚性约束、强化审核，确保机关预算执行工作规范有序</w:t>
      </w:r>
      <w:r>
        <w:rPr>
          <w:rFonts w:hint="eastAsia" w:ascii="仿宋" w:hAnsi="仿宋" w:eastAsia="仿宋" w:cs="仿宋"/>
          <w:sz w:val="32"/>
          <w:szCs w:val="32"/>
          <w:lang w:eastAsia="zh-CN"/>
        </w:rPr>
        <w:t>。在财务报销环节，严格按照相关制度规定执行，不超标、不越界。</w:t>
      </w:r>
      <w:r>
        <w:rPr>
          <w:rFonts w:hint="eastAsia" w:ascii="仿宋" w:hAnsi="仿宋" w:eastAsia="仿宋" w:cs="仿宋"/>
          <w:sz w:val="32"/>
          <w:szCs w:val="32"/>
        </w:rPr>
        <w:t>坚决落实政府过紧日子的要求，严控“三公”经费、会议费、培训费、差旅费、办公费等一般性支出，努力降低机关行政运行成本</w:t>
      </w:r>
      <w:r>
        <w:rPr>
          <w:rFonts w:hint="eastAsia" w:ascii="仿宋" w:hAnsi="仿宋" w:eastAsia="仿宋" w:cs="仿宋"/>
          <w:sz w:val="32"/>
          <w:szCs w:val="32"/>
          <w:lang w:eastAsia="zh-CN"/>
        </w:rPr>
        <w:t>。</w:t>
      </w:r>
    </w:p>
    <w:p>
      <w:pPr>
        <w:spacing w:line="600" w:lineRule="exact"/>
        <w:rPr>
          <w:rFonts w:ascii="仿宋_GB2312" w:hAnsi="宋体" w:eastAsia="仿宋_GB2312" w:cs="宋体"/>
          <w:b w:val="0"/>
          <w:bCs w:val="0"/>
          <w:color w:val="000000"/>
          <w:kern w:val="0"/>
          <w:sz w:val="32"/>
          <w:szCs w:val="32"/>
        </w:rPr>
      </w:pPr>
      <w:r>
        <w:rPr>
          <w:rFonts w:hint="eastAsia" w:ascii="仿宋_GB2312" w:hAnsi="宋体" w:eastAsia="仿宋_GB2312" w:cs="宋体"/>
          <w:b w:val="0"/>
          <w:bCs w:val="0"/>
          <w:color w:val="000000"/>
          <w:kern w:val="0"/>
          <w:sz w:val="32"/>
          <w:szCs w:val="32"/>
          <w:lang w:val="en-US" w:eastAsia="zh-CN"/>
        </w:rPr>
        <w:t xml:space="preserve">    </w:t>
      </w:r>
      <w:r>
        <w:rPr>
          <w:rFonts w:ascii="仿宋_GB2312" w:hAnsi="宋体" w:eastAsia="仿宋_GB2312" w:cs="宋体"/>
          <w:b w:val="0"/>
          <w:bCs w:val="0"/>
          <w:color w:val="000000"/>
          <w:kern w:val="0"/>
          <w:sz w:val="32"/>
          <w:szCs w:val="32"/>
        </w:rPr>
        <w:t>3.</w:t>
      </w:r>
      <w:r>
        <w:rPr>
          <w:rFonts w:hint="eastAsia" w:ascii="仿宋_GB2312" w:hAnsi="宋体" w:eastAsia="仿宋_GB2312" w:cs="宋体"/>
          <w:b w:val="0"/>
          <w:bCs w:val="0"/>
          <w:color w:val="000000"/>
          <w:kern w:val="0"/>
          <w:sz w:val="32"/>
          <w:szCs w:val="32"/>
        </w:rPr>
        <w:t>会计</w:t>
      </w:r>
      <w:r>
        <w:rPr>
          <w:rFonts w:ascii="仿宋_GB2312" w:hAnsi="宋体" w:eastAsia="仿宋_GB2312" w:cs="宋体"/>
          <w:b w:val="0"/>
          <w:bCs w:val="0"/>
          <w:color w:val="000000"/>
          <w:kern w:val="0"/>
          <w:sz w:val="32"/>
          <w:szCs w:val="32"/>
        </w:rPr>
        <w:t>基础信息完善性</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会计基础工作是单位经济管理工作运行中的基础和重要保障，更是财务工作中的核心及根本，在单位各个部门工作承担衔接和监督作用。</w:t>
      </w:r>
      <w:r>
        <w:rPr>
          <w:rFonts w:hint="eastAsia" w:ascii="仿宋" w:hAnsi="仿宋" w:eastAsia="仿宋" w:cs="仿宋"/>
          <w:sz w:val="32"/>
          <w:szCs w:val="32"/>
          <w:lang w:eastAsia="zh-CN"/>
        </w:rPr>
        <w:t>区人大</w:t>
      </w:r>
      <w:r>
        <w:rPr>
          <w:rFonts w:hint="eastAsia" w:ascii="仿宋" w:hAnsi="仿宋" w:eastAsia="仿宋" w:cs="仿宋"/>
          <w:sz w:val="32"/>
          <w:szCs w:val="32"/>
        </w:rPr>
        <w:t>常委会严格执行政府会计制度，在</w:t>
      </w:r>
      <w:r>
        <w:rPr>
          <w:rFonts w:hint="eastAsia" w:ascii="仿宋" w:hAnsi="仿宋" w:eastAsia="仿宋" w:cs="仿宋"/>
          <w:sz w:val="32"/>
          <w:szCs w:val="32"/>
          <w:lang w:eastAsia="zh-CN"/>
        </w:rPr>
        <w:t>财务</w:t>
      </w:r>
      <w:r>
        <w:rPr>
          <w:rFonts w:hint="eastAsia" w:ascii="仿宋" w:hAnsi="仿宋" w:eastAsia="仿宋" w:cs="仿宋"/>
          <w:sz w:val="32"/>
          <w:szCs w:val="32"/>
        </w:rPr>
        <w:t>管理制度中明确了领导审批权限、财务报销流程、预算管理、收支管理、</w:t>
      </w:r>
      <w:r>
        <w:rPr>
          <w:rFonts w:hint="eastAsia" w:ascii="仿宋" w:hAnsi="仿宋" w:eastAsia="仿宋" w:cs="仿宋"/>
          <w:sz w:val="32"/>
          <w:szCs w:val="32"/>
          <w:lang w:eastAsia="zh-CN"/>
        </w:rPr>
        <w:t>资产管理、采购管理等</w:t>
      </w:r>
      <w:r>
        <w:rPr>
          <w:rFonts w:hint="eastAsia" w:ascii="仿宋" w:hAnsi="仿宋" w:eastAsia="仿宋" w:cs="仿宋"/>
          <w:sz w:val="32"/>
          <w:szCs w:val="32"/>
        </w:rPr>
        <w:t xml:space="preserve">内容。同时定期对财务人员开展培训学习，提升财务人员专业能力。 </w:t>
      </w:r>
    </w:p>
    <w:p>
      <w:pPr>
        <w:numPr>
          <w:ilvl w:val="0"/>
          <w:numId w:val="0"/>
        </w:numPr>
        <w:spacing w:line="600" w:lineRule="exact"/>
        <w:rPr>
          <w:rFonts w:hint="eastAsia" w:ascii="楷体_GB2312" w:eastAsia="楷体_GB2312"/>
          <w:b w:val="0"/>
          <w:bCs w:val="0"/>
          <w:sz w:val="32"/>
          <w:szCs w:val="32"/>
        </w:rPr>
      </w:pPr>
      <w:r>
        <w:rPr>
          <w:rFonts w:hint="eastAsia" w:ascii="楷体_GB2312" w:eastAsia="楷体_GB2312"/>
          <w:b w:val="0"/>
          <w:bCs w:val="0"/>
          <w:sz w:val="32"/>
          <w:szCs w:val="32"/>
          <w:lang w:val="en-US" w:eastAsia="zh-CN"/>
        </w:rPr>
        <w:t xml:space="preserve">   </w:t>
      </w:r>
      <w:r>
        <w:rPr>
          <w:rFonts w:hint="eastAsia" w:ascii="楷体_GB2312" w:eastAsia="楷体_GB2312"/>
          <w:b w:val="0"/>
          <w:bCs w:val="0"/>
          <w:sz w:val="32"/>
          <w:szCs w:val="32"/>
          <w:lang w:eastAsia="zh-CN"/>
        </w:rPr>
        <w:t>（二）</w:t>
      </w:r>
      <w:r>
        <w:rPr>
          <w:rFonts w:hint="eastAsia" w:ascii="楷体_GB2312" w:eastAsia="楷体_GB2312"/>
          <w:b w:val="0"/>
          <w:bCs w:val="0"/>
          <w:sz w:val="32"/>
          <w:szCs w:val="32"/>
        </w:rPr>
        <w:t>资产管理</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固定资产的购置由办公室资产管理部门根据各</w:t>
      </w:r>
      <w:r>
        <w:rPr>
          <w:rFonts w:hint="eastAsia" w:ascii="仿宋" w:hAnsi="仿宋" w:eastAsia="仿宋" w:cs="仿宋"/>
          <w:sz w:val="32"/>
          <w:szCs w:val="32"/>
          <w:lang w:eastAsia="zh-CN"/>
        </w:rPr>
        <w:t>办室</w:t>
      </w:r>
      <w:r>
        <w:rPr>
          <w:rFonts w:hint="eastAsia" w:ascii="仿宋" w:hAnsi="仿宋" w:eastAsia="仿宋" w:cs="仿宋"/>
          <w:sz w:val="32"/>
          <w:szCs w:val="32"/>
        </w:rPr>
        <w:t>所需，按照有关配置标准进行。对纳入集中采购目录和标准的固定资产购置项目，应通过政府采购方式进行。固定资产</w:t>
      </w:r>
      <w:r>
        <w:rPr>
          <w:rFonts w:hint="eastAsia" w:ascii="仿宋" w:hAnsi="仿宋" w:eastAsia="仿宋" w:cs="仿宋"/>
          <w:sz w:val="32"/>
          <w:szCs w:val="32"/>
          <w:lang w:eastAsia="zh-CN"/>
        </w:rPr>
        <w:t>台账</w:t>
      </w:r>
      <w:r>
        <w:rPr>
          <w:rFonts w:hint="eastAsia" w:ascii="仿宋" w:hAnsi="仿宋" w:eastAsia="仿宋" w:cs="仿宋"/>
          <w:sz w:val="32"/>
          <w:szCs w:val="32"/>
        </w:rPr>
        <w:t>与财务账每年至少核对一次。同时按要求编报年度资产报表，全面反映单位资产管理现状。</w:t>
      </w:r>
    </w:p>
    <w:p>
      <w:pPr>
        <w:pStyle w:val="6"/>
        <w:numPr>
          <w:ilvl w:val="0"/>
          <w:numId w:val="0"/>
        </w:numPr>
        <w:rPr>
          <w:rFonts w:ascii="楷体_GB2312" w:eastAsia="楷体_GB2312"/>
          <w:b w:val="0"/>
          <w:bCs w:val="0"/>
          <w:sz w:val="32"/>
          <w:szCs w:val="32"/>
        </w:rPr>
      </w:pPr>
      <w:r>
        <w:rPr>
          <w:rFonts w:hint="eastAsia" w:ascii="楷体_GB2312" w:eastAsia="楷体_GB2312"/>
          <w:b w:val="0"/>
          <w:bCs w:val="0"/>
          <w:sz w:val="32"/>
          <w:szCs w:val="32"/>
          <w:lang w:val="en-US" w:eastAsia="zh-CN"/>
        </w:rPr>
        <w:t xml:space="preserve">   </w:t>
      </w:r>
      <w:r>
        <w:rPr>
          <w:rFonts w:hint="eastAsia" w:ascii="楷体_GB2312" w:eastAsia="楷体_GB2312"/>
          <w:b w:val="0"/>
          <w:bCs w:val="0"/>
          <w:sz w:val="32"/>
          <w:szCs w:val="32"/>
        </w:rPr>
        <w:t>（三）绩效</w:t>
      </w:r>
      <w:r>
        <w:rPr>
          <w:rFonts w:ascii="楷体_GB2312" w:eastAsia="楷体_GB2312"/>
          <w:b w:val="0"/>
          <w:bCs w:val="0"/>
          <w:sz w:val="32"/>
          <w:szCs w:val="32"/>
        </w:rPr>
        <w:t>管理</w:t>
      </w:r>
    </w:p>
    <w:p>
      <w:pPr>
        <w:pStyle w:val="6"/>
        <w:spacing w:line="560" w:lineRule="exact"/>
        <w:ind w:firstLine="64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预算绩效管理是按照预算管理的流程，在预算编制、执行和监督各环节，做到事前事中事后全过程绩效管理。在预算编制阶段，业务部门对每个项目设定绩效目标，并在项目的经济性、效率性、必要性等方面做事前绩效评估。在预算执行完毕后预算单位对部门整体和项目开展自评，形成绩效自评表和自评报告，将“花钱必问效、无效必问责”的绩效管理理念深入人心。</w:t>
      </w:r>
    </w:p>
    <w:p>
      <w:pPr>
        <w:spacing w:line="600" w:lineRule="exact"/>
        <w:rPr>
          <w:rFonts w:hint="eastAsia" w:ascii="楷体_GB2312" w:eastAsia="楷体_GB2312"/>
          <w:b w:val="0"/>
          <w:bCs w:val="0"/>
          <w:sz w:val="32"/>
          <w:szCs w:val="32"/>
        </w:rPr>
      </w:pPr>
      <w:r>
        <w:rPr>
          <w:rFonts w:hint="eastAsia" w:ascii="楷体_GB2312" w:eastAsia="楷体_GB2312"/>
          <w:b w:val="0"/>
          <w:bCs w:val="0"/>
          <w:sz w:val="32"/>
          <w:szCs w:val="32"/>
          <w:lang w:val="en-US" w:eastAsia="zh-CN"/>
        </w:rPr>
        <w:t xml:space="preserve">  </w:t>
      </w:r>
      <w:r>
        <w:rPr>
          <w:rFonts w:hint="eastAsia" w:ascii="楷体_GB2312" w:eastAsia="楷体_GB2312"/>
          <w:b w:val="0"/>
          <w:bCs w:val="0"/>
          <w:sz w:val="32"/>
          <w:szCs w:val="32"/>
        </w:rPr>
        <w:t>（四）结转结余率</w:t>
      </w:r>
    </w:p>
    <w:p>
      <w:pPr>
        <w:pStyle w:val="6"/>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依据</w:t>
      </w:r>
      <w:r>
        <w:rPr>
          <w:rFonts w:hint="eastAsia" w:ascii="仿宋" w:hAnsi="仿宋" w:eastAsia="仿宋" w:cs="仿宋"/>
          <w:sz w:val="32"/>
          <w:szCs w:val="32"/>
          <w:lang w:eastAsia="zh-CN"/>
        </w:rPr>
        <w:t>通州区</w:t>
      </w:r>
      <w:r>
        <w:rPr>
          <w:rFonts w:hint="eastAsia" w:ascii="仿宋" w:hAnsi="仿宋" w:eastAsia="仿宋" w:cs="仿宋"/>
          <w:sz w:val="32"/>
          <w:szCs w:val="32"/>
        </w:rPr>
        <w:t>人民代表大会常务委员</w:t>
      </w:r>
      <w:r>
        <w:rPr>
          <w:rFonts w:hint="eastAsia" w:ascii="仿宋" w:hAnsi="仿宋" w:eastAsia="仿宋" w:cs="仿宋"/>
          <w:sz w:val="32"/>
          <w:szCs w:val="32"/>
          <w:lang w:val="en-US" w:eastAsia="zh-CN"/>
        </w:rPr>
        <w:t>2025</w:t>
      </w:r>
      <w:r>
        <w:rPr>
          <w:rFonts w:hint="eastAsia" w:ascii="仿宋" w:hAnsi="仿宋" w:eastAsia="仿宋" w:cs="仿宋"/>
          <w:sz w:val="32"/>
          <w:szCs w:val="32"/>
        </w:rPr>
        <w:t>年财务决算报表，</w:t>
      </w:r>
      <w:r>
        <w:rPr>
          <w:rFonts w:hint="eastAsia" w:ascii="仿宋" w:hAnsi="仿宋" w:eastAsia="仿宋" w:cs="仿宋"/>
          <w:sz w:val="32"/>
          <w:szCs w:val="32"/>
          <w:lang w:eastAsia="zh-CN"/>
        </w:rPr>
        <w:t>无结转结余数。</w:t>
      </w:r>
    </w:p>
    <w:p>
      <w:pPr>
        <w:numPr>
          <w:ilvl w:val="0"/>
          <w:numId w:val="3"/>
        </w:numPr>
        <w:spacing w:line="600" w:lineRule="exact"/>
        <w:ind w:left="105" w:leftChars="50" w:firstLine="480" w:firstLineChars="150"/>
        <w:rPr>
          <w:rFonts w:ascii="楷体_GB2312" w:eastAsia="楷体_GB2312"/>
          <w:b w:val="0"/>
          <w:bCs w:val="0"/>
          <w:sz w:val="32"/>
          <w:szCs w:val="32"/>
        </w:rPr>
      </w:pPr>
      <w:r>
        <w:rPr>
          <w:rFonts w:hint="eastAsia" w:ascii="楷体_GB2312" w:eastAsia="楷体_GB2312"/>
          <w:b w:val="0"/>
          <w:bCs w:val="0"/>
          <w:sz w:val="32"/>
          <w:szCs w:val="32"/>
        </w:rPr>
        <w:t>部门</w:t>
      </w:r>
      <w:r>
        <w:rPr>
          <w:rFonts w:ascii="楷体_GB2312" w:eastAsia="楷体_GB2312"/>
          <w:b w:val="0"/>
          <w:bCs w:val="0"/>
          <w:sz w:val="32"/>
          <w:szCs w:val="32"/>
        </w:rPr>
        <w:t>预决算差异率</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通过年度部门决算与年初部门预算对比，202</w:t>
      </w:r>
      <w:r>
        <w:rPr>
          <w:rFonts w:hint="eastAsia" w:ascii="仿宋" w:hAnsi="仿宋" w:eastAsia="仿宋" w:cs="仿宋"/>
          <w:sz w:val="32"/>
          <w:szCs w:val="32"/>
          <w:lang w:val="en-US" w:eastAsia="zh-CN"/>
        </w:rPr>
        <w:t>5</w:t>
      </w:r>
      <w:r>
        <w:rPr>
          <w:rFonts w:hint="eastAsia" w:ascii="仿宋" w:hAnsi="仿宋" w:eastAsia="仿宋" w:cs="仿宋"/>
          <w:sz w:val="32"/>
          <w:szCs w:val="32"/>
        </w:rPr>
        <w:t>年度年初预算金额为</w:t>
      </w:r>
      <w:r>
        <w:rPr>
          <w:rFonts w:hint="eastAsia" w:ascii="仿宋_GB2312" w:hAnsi="仿宋" w:eastAsia="仿宋_GB2312"/>
          <w:sz w:val="32"/>
          <w:szCs w:val="32"/>
          <w:highlight w:val="none"/>
          <w:lang w:val="en-US" w:eastAsia="zh-CN"/>
        </w:rPr>
        <w:t>2705.57</w:t>
      </w:r>
      <w:r>
        <w:rPr>
          <w:rFonts w:hint="eastAsia" w:ascii="仿宋" w:hAnsi="仿宋" w:eastAsia="仿宋" w:cs="仿宋"/>
          <w:sz w:val="32"/>
          <w:szCs w:val="32"/>
        </w:rPr>
        <w:t>万元，年末决算数为</w:t>
      </w:r>
      <w:r>
        <w:rPr>
          <w:rFonts w:hint="eastAsia" w:ascii="仿宋_GB2312" w:hAnsi="仿宋" w:eastAsia="仿宋_GB2312"/>
          <w:sz w:val="32"/>
          <w:szCs w:val="32"/>
          <w:highlight w:val="none"/>
          <w:u w:val="none"/>
          <w:lang w:val="en-US" w:eastAsia="zh-CN"/>
        </w:rPr>
        <w:t>2572.74</w:t>
      </w:r>
      <w:r>
        <w:rPr>
          <w:rFonts w:hint="eastAsia" w:ascii="仿宋" w:hAnsi="仿宋" w:eastAsia="仿宋" w:cs="仿宋"/>
          <w:sz w:val="32"/>
          <w:szCs w:val="32"/>
        </w:rPr>
        <w:t>万元，计算部门</w:t>
      </w:r>
      <w:r>
        <w:rPr>
          <w:rFonts w:hint="eastAsia" w:ascii="仿宋" w:hAnsi="仿宋" w:eastAsia="仿宋" w:cs="仿宋"/>
          <w:sz w:val="32"/>
          <w:szCs w:val="32"/>
          <w:lang w:eastAsia="zh-CN"/>
        </w:rPr>
        <w:t>预</w:t>
      </w:r>
      <w:r>
        <w:rPr>
          <w:rFonts w:hint="eastAsia" w:ascii="仿宋" w:hAnsi="仿宋" w:eastAsia="仿宋" w:cs="仿宋"/>
          <w:sz w:val="32"/>
          <w:szCs w:val="32"/>
        </w:rPr>
        <w:t>决算差异率为</w:t>
      </w:r>
      <w:r>
        <w:rPr>
          <w:rFonts w:hint="eastAsia" w:ascii="仿宋" w:hAnsi="仿宋" w:eastAsia="仿宋" w:cs="仿宋"/>
          <w:sz w:val="32"/>
          <w:szCs w:val="32"/>
          <w:lang w:val="en-US" w:eastAsia="zh-CN"/>
        </w:rPr>
        <w:t>-4.90</w:t>
      </w:r>
      <w:r>
        <w:rPr>
          <w:rFonts w:hint="eastAsia" w:ascii="仿宋" w:hAnsi="仿宋" w:eastAsia="仿宋" w:cs="仿宋"/>
          <w:sz w:val="32"/>
          <w:szCs w:val="32"/>
        </w:rPr>
        <w:t>%。</w:t>
      </w:r>
    </w:p>
    <w:p>
      <w:pPr>
        <w:spacing w:line="600" w:lineRule="exact"/>
        <w:rPr>
          <w:rFonts w:ascii="黑体" w:hAnsi="黑体" w:eastAsia="黑体"/>
          <w:b w:val="0"/>
          <w:bCs w:val="0"/>
          <w:sz w:val="32"/>
          <w:szCs w:val="32"/>
        </w:rPr>
      </w:pPr>
      <w:r>
        <w:rPr>
          <w:rFonts w:hint="eastAsia" w:ascii="黑体" w:hAnsi="黑体" w:eastAsia="黑体"/>
          <w:b w:val="0"/>
          <w:bCs w:val="0"/>
          <w:sz w:val="32"/>
          <w:szCs w:val="32"/>
          <w:lang w:val="en-US" w:eastAsia="zh-CN"/>
        </w:rPr>
        <w:t xml:space="preserve">    </w:t>
      </w:r>
      <w:r>
        <w:rPr>
          <w:rFonts w:hint="eastAsia" w:ascii="黑体" w:hAnsi="黑体" w:eastAsia="黑体"/>
          <w:b w:val="0"/>
          <w:bCs w:val="0"/>
          <w:sz w:val="32"/>
          <w:szCs w:val="32"/>
        </w:rPr>
        <w:t>五、总体</w:t>
      </w:r>
      <w:r>
        <w:rPr>
          <w:rFonts w:ascii="黑体" w:hAnsi="黑体" w:eastAsia="黑体"/>
          <w:b w:val="0"/>
          <w:bCs w:val="0"/>
          <w:sz w:val="32"/>
          <w:szCs w:val="32"/>
        </w:rPr>
        <w:t>评价结论</w:t>
      </w:r>
    </w:p>
    <w:p>
      <w:pPr>
        <w:numPr>
          <w:ilvl w:val="0"/>
          <w:numId w:val="4"/>
        </w:numPr>
        <w:spacing w:line="600" w:lineRule="exact"/>
        <w:ind w:left="105" w:leftChars="50" w:firstLine="480" w:firstLineChars="150"/>
        <w:rPr>
          <w:rFonts w:hint="eastAsia" w:ascii="楷体_GB2312" w:eastAsia="楷体_GB2312"/>
          <w:b w:val="0"/>
          <w:bCs w:val="0"/>
          <w:sz w:val="32"/>
          <w:szCs w:val="32"/>
        </w:rPr>
      </w:pPr>
      <w:r>
        <w:rPr>
          <w:rFonts w:hint="eastAsia" w:ascii="楷体_GB2312" w:eastAsia="楷体_GB2312"/>
          <w:b w:val="0"/>
          <w:bCs w:val="0"/>
          <w:sz w:val="32"/>
          <w:szCs w:val="32"/>
        </w:rPr>
        <w:t>评价</w:t>
      </w:r>
      <w:r>
        <w:rPr>
          <w:rFonts w:ascii="楷体_GB2312" w:eastAsia="楷体_GB2312"/>
          <w:b w:val="0"/>
          <w:bCs w:val="0"/>
          <w:sz w:val="32"/>
          <w:szCs w:val="32"/>
        </w:rPr>
        <w:t>得分</w:t>
      </w:r>
      <w:r>
        <w:rPr>
          <w:rFonts w:hint="eastAsia" w:ascii="楷体_GB2312" w:eastAsia="楷体_GB2312"/>
          <w:b w:val="0"/>
          <w:bCs w:val="0"/>
          <w:sz w:val="32"/>
          <w:szCs w:val="32"/>
        </w:rPr>
        <w:t>情况</w:t>
      </w:r>
    </w:p>
    <w:p>
      <w:pPr>
        <w:spacing w:line="560" w:lineRule="exact"/>
        <w:rPr>
          <w:rFonts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根据上述预算执行情况及绩效目标实现情况，区人大</w:t>
      </w:r>
      <w:r>
        <w:rPr>
          <w:rFonts w:hint="eastAsia" w:ascii="仿宋" w:hAnsi="仿宋" w:eastAsia="仿宋" w:cs="仿宋"/>
          <w:sz w:val="32"/>
          <w:szCs w:val="32"/>
          <w:lang w:val="en-US" w:eastAsia="zh-CN"/>
        </w:rPr>
        <w:t>2025</w:t>
      </w:r>
      <w:r>
        <w:rPr>
          <w:rFonts w:hint="eastAsia" w:ascii="仿宋" w:hAnsi="仿宋" w:eastAsia="仿宋" w:cs="仿宋"/>
          <w:sz w:val="32"/>
          <w:szCs w:val="32"/>
        </w:rPr>
        <w:t>年部门整体绩效评价等级为优秀</w:t>
      </w:r>
      <w:r>
        <w:rPr>
          <w:rFonts w:hint="eastAsia" w:ascii="仿宋" w:hAnsi="仿宋" w:eastAsia="仿宋" w:cs="仿宋"/>
          <w:sz w:val="32"/>
          <w:szCs w:val="32"/>
          <w:lang w:eastAsia="zh-CN"/>
        </w:rPr>
        <w:t>。</w:t>
      </w:r>
    </w:p>
    <w:p>
      <w:pPr>
        <w:spacing w:line="600" w:lineRule="exact"/>
        <w:rPr>
          <w:rFonts w:hint="eastAsia" w:ascii="楷体_GB2312" w:eastAsia="楷体_GB2312"/>
          <w:b w:val="0"/>
          <w:bCs w:val="0"/>
          <w:sz w:val="32"/>
          <w:szCs w:val="32"/>
        </w:rPr>
      </w:pPr>
      <w:r>
        <w:rPr>
          <w:rFonts w:hint="eastAsia" w:ascii="楷体_GB2312" w:eastAsia="楷体_GB2312"/>
          <w:b w:val="0"/>
          <w:bCs w:val="0"/>
          <w:sz w:val="32"/>
          <w:szCs w:val="32"/>
          <w:lang w:val="en-US" w:eastAsia="zh-CN"/>
        </w:rPr>
        <w:t xml:space="preserve">   </w:t>
      </w:r>
      <w:r>
        <w:rPr>
          <w:rFonts w:hint="eastAsia" w:ascii="楷体_GB2312" w:eastAsia="楷体_GB2312"/>
          <w:b w:val="0"/>
          <w:bCs w:val="0"/>
          <w:sz w:val="32"/>
          <w:szCs w:val="32"/>
        </w:rPr>
        <w:t>（二）存在的问题及原因分析</w:t>
      </w:r>
    </w:p>
    <w:p>
      <w:pPr>
        <w:spacing w:line="560"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一是项目管理过程仍需加强。个别项目预算执行情况与年初预算目标稍有差异</w:t>
      </w:r>
      <w:r>
        <w:rPr>
          <w:rFonts w:hint="eastAsia" w:ascii="仿宋" w:hAnsi="仿宋" w:eastAsia="仿宋" w:cs="仿宋"/>
          <w:sz w:val="32"/>
          <w:szCs w:val="32"/>
          <w:lang w:eastAsia="zh-CN"/>
        </w:rPr>
        <w:t>；</w:t>
      </w:r>
      <w:bookmarkStart w:id="4" w:name="_GoBack"/>
      <w:bookmarkEnd w:id="4"/>
    </w:p>
    <w:p>
      <w:pPr>
        <w:spacing w:line="560" w:lineRule="exact"/>
        <w:ind w:firstLine="640"/>
        <w:rPr>
          <w:rFonts w:ascii="仿宋" w:hAnsi="仿宋" w:eastAsia="仿宋" w:cs="仿宋"/>
          <w:sz w:val="32"/>
          <w:szCs w:val="32"/>
        </w:rPr>
      </w:pPr>
      <w:r>
        <w:rPr>
          <w:rFonts w:hint="eastAsia" w:ascii="仿宋" w:hAnsi="仿宋" w:eastAsia="仿宋" w:cs="仿宋"/>
          <w:sz w:val="32"/>
          <w:szCs w:val="32"/>
        </w:rPr>
        <w:t>二是绩效管理意识有待进一步加强。各部门要牢固树立绩效意识，加强组织领导，完善工作机制，优化管理流程，将绩效管理与业务工作紧密结合；将绩效管理责任分解落实到各部门、明确到具体责任人，建立层层抓落实的工作责任制，确保各司其职、各负其责。</w:t>
      </w:r>
    </w:p>
    <w:p>
      <w:pPr>
        <w:spacing w:line="600" w:lineRule="exact"/>
      </w:pPr>
      <w:r>
        <w:rPr>
          <w:rFonts w:hint="eastAsia" w:ascii="黑体" w:hAnsi="黑体" w:eastAsia="黑体" w:cs="宋体"/>
          <w:b w:val="0"/>
          <w:bCs w:val="0"/>
          <w:color w:val="000000"/>
          <w:kern w:val="0"/>
          <w:sz w:val="32"/>
          <w:szCs w:val="32"/>
          <w:lang w:val="en-US" w:eastAsia="zh-CN"/>
        </w:rPr>
        <w:t xml:space="preserve">   </w:t>
      </w:r>
      <w:r>
        <w:rPr>
          <w:rFonts w:hint="eastAsia" w:ascii="黑体" w:hAnsi="黑体" w:eastAsia="黑体" w:cs="宋体"/>
          <w:b w:val="0"/>
          <w:bCs w:val="0"/>
          <w:color w:val="000000"/>
          <w:kern w:val="0"/>
          <w:sz w:val="32"/>
          <w:szCs w:val="32"/>
        </w:rPr>
        <w:t>六、措施建议</w:t>
      </w:r>
    </w:p>
    <w:p>
      <w:pPr>
        <w:spacing w:line="560" w:lineRule="exact"/>
        <w:rPr>
          <w:rFonts w:hint="eastAsia" w:ascii="宋体" w:hAnsi="宋体" w:eastAsia="宋体" w:cs="宋体"/>
          <w:color w:val="auto"/>
          <w:kern w:val="0"/>
          <w:sz w:val="22"/>
          <w:szCs w:val="24"/>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持续强化预算绩效管理体系的广度和深度，完善绩效管理成果应用相关配套制度，把预算绩效结果作为考核考评、监督问责等工作的重要参考，推进预算绩效管理信息公开，形成倒逼机制，推动工作落实。</w:t>
      </w:r>
    </w:p>
    <w:sectPr>
      <w:footerReference r:id="rId3" w:type="default"/>
      <w:pgSz w:w="11906" w:h="16838"/>
      <w:pgMar w:top="1440" w:right="1803" w:bottom="1440" w:left="1803" w:header="851" w:footer="992" w:gutter="0"/>
      <w:pgNumType w:fmt="decimal"/>
      <w:cols w:space="425"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方正书宋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Inter">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FangSong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7"/>
                          </w:pPr>
                          <w:r>
                            <w:fldChar w:fldCharType="begin"/>
                          </w:r>
                          <w:r>
                            <w:instrText xml:space="preserve"> PAGE  \* MERGEFORMAT </w:instrText>
                          </w:r>
                          <w:r>
                            <w:fldChar w:fldCharType="separate"/>
                          </w:r>
                          <w:r>
                            <w:t>21</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NJWO7QAAAABQEAAA8AAAAAAAAAAQAgAAAAIgAAAGRycy9kb3ducmV2&#10;LnhtbFBLAQIUABQAAAAIAIdO4kCEXiZ/ywEAAHkDAAAOAAAAAAAAAAEAIAAAAB8BAABkcnMvZTJv&#10;RG9jLnhtbFBLBQYAAAAABgAGAFkBAAB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CE632E"/>
    <w:multiLevelType w:val="singleLevel"/>
    <w:tmpl w:val="67CE632E"/>
    <w:lvl w:ilvl="0" w:tentative="0">
      <w:start w:val="5"/>
      <w:numFmt w:val="chineseCounting"/>
      <w:suff w:val="nothing"/>
      <w:lvlText w:val="（%1）"/>
      <w:lvlJc w:val="left"/>
    </w:lvl>
  </w:abstractNum>
  <w:abstractNum w:abstractNumId="1">
    <w:nsid w:val="67CE999C"/>
    <w:multiLevelType w:val="singleLevel"/>
    <w:tmpl w:val="67CE999C"/>
    <w:lvl w:ilvl="0" w:tentative="0">
      <w:start w:val="2"/>
      <w:numFmt w:val="decimal"/>
      <w:suff w:val="nothing"/>
      <w:lvlText w:val="%1."/>
      <w:lvlJc w:val="left"/>
    </w:lvl>
  </w:abstractNum>
  <w:abstractNum w:abstractNumId="2">
    <w:nsid w:val="67CF980E"/>
    <w:multiLevelType w:val="singleLevel"/>
    <w:tmpl w:val="67CF980E"/>
    <w:lvl w:ilvl="0" w:tentative="0">
      <w:start w:val="1"/>
      <w:numFmt w:val="decimal"/>
      <w:suff w:val="nothing"/>
      <w:lvlText w:val="(%1)"/>
      <w:lvlJc w:val="left"/>
    </w:lvl>
  </w:abstractNum>
  <w:abstractNum w:abstractNumId="3">
    <w:nsid w:val="67CFA5E2"/>
    <w:multiLevelType w:val="singleLevel"/>
    <w:tmpl w:val="67CFA5E2"/>
    <w:lvl w:ilvl="0" w:tentative="0">
      <w:start w:val="1"/>
      <w:numFmt w:val="chineseCounting"/>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DB0B63"/>
    <w:rsid w:val="014948AF"/>
    <w:rsid w:val="01534994"/>
    <w:rsid w:val="04971400"/>
    <w:rsid w:val="05D16948"/>
    <w:rsid w:val="0704316F"/>
    <w:rsid w:val="09B711D2"/>
    <w:rsid w:val="0AA31D29"/>
    <w:rsid w:val="0AFE53ED"/>
    <w:rsid w:val="0C17488A"/>
    <w:rsid w:val="0C8165E0"/>
    <w:rsid w:val="12C477D1"/>
    <w:rsid w:val="19055F5C"/>
    <w:rsid w:val="1D5041A8"/>
    <w:rsid w:val="20F953B3"/>
    <w:rsid w:val="22B9019E"/>
    <w:rsid w:val="25337CC6"/>
    <w:rsid w:val="27DB7DD1"/>
    <w:rsid w:val="29EB5E5B"/>
    <w:rsid w:val="2CBF8107"/>
    <w:rsid w:val="2D9839AB"/>
    <w:rsid w:val="2DEF7573"/>
    <w:rsid w:val="2EB70209"/>
    <w:rsid w:val="30FF2B40"/>
    <w:rsid w:val="35D339CB"/>
    <w:rsid w:val="387C0830"/>
    <w:rsid w:val="3B457165"/>
    <w:rsid w:val="3F2549BA"/>
    <w:rsid w:val="3FF79B31"/>
    <w:rsid w:val="42271438"/>
    <w:rsid w:val="432B7118"/>
    <w:rsid w:val="4BA31FDB"/>
    <w:rsid w:val="4BFF9656"/>
    <w:rsid w:val="506B2FEC"/>
    <w:rsid w:val="52D247BD"/>
    <w:rsid w:val="52FC551E"/>
    <w:rsid w:val="537A1457"/>
    <w:rsid w:val="537B9DA3"/>
    <w:rsid w:val="53EA7691"/>
    <w:rsid w:val="577FC547"/>
    <w:rsid w:val="5A474F5C"/>
    <w:rsid w:val="5DDF52D1"/>
    <w:rsid w:val="5EDB0B63"/>
    <w:rsid w:val="5F9F33EB"/>
    <w:rsid w:val="658659AE"/>
    <w:rsid w:val="6AC7B1A3"/>
    <w:rsid w:val="6B77FB6F"/>
    <w:rsid w:val="6EE9A86C"/>
    <w:rsid w:val="6FD43E60"/>
    <w:rsid w:val="71DB912D"/>
    <w:rsid w:val="733167CF"/>
    <w:rsid w:val="73ED3349"/>
    <w:rsid w:val="750A1B93"/>
    <w:rsid w:val="763E871D"/>
    <w:rsid w:val="796D5E8E"/>
    <w:rsid w:val="79EBFCAD"/>
    <w:rsid w:val="7BBD97BD"/>
    <w:rsid w:val="7BDC51D9"/>
    <w:rsid w:val="7BED256C"/>
    <w:rsid w:val="7BFE4A5B"/>
    <w:rsid w:val="7BFFEC6B"/>
    <w:rsid w:val="7DBF4FBB"/>
    <w:rsid w:val="7DCD9330"/>
    <w:rsid w:val="7DD758A1"/>
    <w:rsid w:val="7E562264"/>
    <w:rsid w:val="7E5EB5A1"/>
    <w:rsid w:val="7F2773F9"/>
    <w:rsid w:val="7F3909BD"/>
    <w:rsid w:val="7F7C49BA"/>
    <w:rsid w:val="7FBF70D0"/>
    <w:rsid w:val="7FF719AD"/>
    <w:rsid w:val="9BFD2FEF"/>
    <w:rsid w:val="AA5E3CAD"/>
    <w:rsid w:val="AFDDEFDC"/>
    <w:rsid w:val="B2DFF942"/>
    <w:rsid w:val="B5FC34C6"/>
    <w:rsid w:val="BAEFCA12"/>
    <w:rsid w:val="BD5D8A02"/>
    <w:rsid w:val="D4CEDA1A"/>
    <w:rsid w:val="D5A31DC0"/>
    <w:rsid w:val="D7FF1616"/>
    <w:rsid w:val="DFEAA56F"/>
    <w:rsid w:val="E6922BE3"/>
    <w:rsid w:val="EB5BB730"/>
    <w:rsid w:val="EDFF835A"/>
    <w:rsid w:val="EEBB59E1"/>
    <w:rsid w:val="EFCF022D"/>
    <w:rsid w:val="F37B3AB2"/>
    <w:rsid w:val="F6FF4047"/>
    <w:rsid w:val="F7E365DE"/>
    <w:rsid w:val="FA5A168B"/>
    <w:rsid w:val="FD3F40DC"/>
    <w:rsid w:val="FD8E962E"/>
    <w:rsid w:val="FEF8056D"/>
    <w:rsid w:val="FEF82787"/>
    <w:rsid w:val="FEFD3F0E"/>
    <w:rsid w:val="FFBDEA55"/>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index 9"/>
    <w:basedOn w:val="1"/>
    <w:next w:val="1"/>
    <w:qFormat/>
    <w:uiPriority w:val="0"/>
    <w:pPr>
      <w:ind w:left="3360"/>
      <w:jc w:val="left"/>
    </w:pPr>
  </w:style>
  <w:style w:type="paragraph" w:styleId="4">
    <w:name w:val="Normal Indent"/>
    <w:basedOn w:val="1"/>
    <w:next w:val="1"/>
    <w:qFormat/>
    <w:uiPriority w:val="0"/>
    <w:pPr>
      <w:ind w:firstLine="200" w:firstLineChars="200"/>
    </w:pPr>
  </w:style>
  <w:style w:type="paragraph" w:styleId="5">
    <w:name w:val="Body Text"/>
    <w:basedOn w:val="1"/>
    <w:next w:val="1"/>
    <w:qFormat/>
    <w:uiPriority w:val="0"/>
    <w:pPr>
      <w:spacing w:before="0" w:after="140" w:line="276" w:lineRule="auto"/>
    </w:pPr>
  </w:style>
  <w:style w:type="paragraph" w:styleId="6">
    <w:name w:val="Plain Text"/>
    <w:basedOn w:val="1"/>
    <w:qFormat/>
    <w:uiPriority w:val="0"/>
    <w:rPr>
      <w:rFonts w:ascii="宋体" w:hAnsi="Courier New" w:eastAsia="宋体" w:cs="Times New Roman"/>
      <w:szCs w:val="20"/>
      <w:lang w:val="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4">
    <w:name w:val="font81"/>
    <w:basedOn w:val="10"/>
    <w:qFormat/>
    <w:uiPriority w:val="0"/>
    <w:rPr>
      <w:rFonts w:hint="eastAsia" w:ascii="宋体" w:hAnsi="宋体" w:eastAsia="宋体" w:cs="宋体"/>
      <w:color w:val="000000"/>
      <w:sz w:val="20"/>
      <w:szCs w:val="20"/>
      <w:u w:val="none"/>
    </w:rPr>
  </w:style>
  <w:style w:type="character" w:customStyle="1" w:styleId="15">
    <w:name w:val="font11"/>
    <w:basedOn w:val="10"/>
    <w:qFormat/>
    <w:uiPriority w:val="0"/>
    <w:rPr>
      <w:rFonts w:hint="eastAsia" w:ascii="仿宋_GB2312" w:eastAsia="仿宋_GB2312" w:cs="仿宋_GB2312"/>
      <w:color w:val="000000"/>
      <w:sz w:val="24"/>
      <w:szCs w:val="24"/>
      <w:u w:val="none"/>
    </w:rPr>
  </w:style>
  <w:style w:type="character" w:customStyle="1" w:styleId="16">
    <w:name w:val="font61"/>
    <w:basedOn w:val="10"/>
    <w:qFormat/>
    <w:uiPriority w:val="0"/>
    <w:rPr>
      <w:rFonts w:hint="eastAsia" w:ascii="仿宋_GB2312" w:eastAsia="仿宋_GB2312" w:cs="仿宋_GB2312"/>
      <w:color w:val="000000"/>
      <w:sz w:val="24"/>
      <w:szCs w:val="24"/>
      <w:u w:val="none"/>
    </w:rPr>
  </w:style>
  <w:style w:type="character" w:customStyle="1" w:styleId="17">
    <w:name w:val="font71"/>
    <w:basedOn w:val="10"/>
    <w:qFormat/>
    <w:uiPriority w:val="0"/>
    <w:rPr>
      <w:rFonts w:hint="eastAsia" w:ascii="宋体" w:hAnsi="宋体" w:eastAsia="宋体" w:cs="宋体"/>
      <w:color w:val="FF0000"/>
      <w:sz w:val="20"/>
      <w:szCs w:val="20"/>
      <w:u w:val="none"/>
    </w:rPr>
  </w:style>
  <w:style w:type="paragraph" w:customStyle="1" w:styleId="18">
    <w:name w:val="表格"/>
    <w:basedOn w:val="1"/>
    <w:qFormat/>
    <w:uiPriority w:val="0"/>
    <w:pPr>
      <w:autoSpaceDN w:val="0"/>
      <w:jc w:val="center"/>
    </w:pPr>
    <w:rPr>
      <w:rFonts w:ascii="Verdana" w:hAnsi="Verdana" w:eastAsia="仿宋_GB2312" w:cs="Times New Roman"/>
      <w:bCs/>
      <w:sz w:val="24"/>
      <w:szCs w:val="21"/>
      <w:lang w:eastAsia="en-US"/>
    </w:rPr>
  </w:style>
  <w:style w:type="paragraph" w:customStyle="1" w:styleId="19">
    <w:name w:val="首行缩进"/>
    <w:basedOn w:val="1"/>
    <w:qFormat/>
    <w:uiPriority w:val="0"/>
    <w:pPr>
      <w:ind w:firstLine="480"/>
    </w:pPr>
    <w:rPr>
      <w:szCs w:val="20"/>
      <w:lang w:val="zh-CN"/>
    </w:rPr>
  </w:style>
  <w:style w:type="character" w:customStyle="1" w:styleId="20">
    <w:name w:val="font01"/>
    <w:basedOn w:val="10"/>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2024-03-13T19:08:00Z</dcterms:created>
  <dc:creator>user</dc:creator>
  <cp:lastModifiedBy>cws001</cp:lastModifiedBy>
  <cp:lastPrinted>2025-03-11T03:06:00Z</cp:lastPrinted>
  <dcterms:modified xsi:type="dcterms:W3CDTF">2026-08-27T04:01:26Z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